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tbl>
      <w:tblPr>
        <w:tblW w:w="6251" w:type="dxa"/>
        <w:jc w:val="center"/>
        <w:tblInd w:w="0" w:type="dxa"/>
        <w:tblLayout w:type="fixed"/>
        <w:tblCellMar>
          <w:top w:w="28" w:type="dxa"/>
          <w:left w:w="28" w:type="dxa"/>
          <w:bottom w:w="28" w:type="dxa"/>
          <w:right w:w="28" w:type="dxa"/>
        </w:tblCellMar>
      </w:tblPr>
      <w:tblGrid>
        <w:gridCol w:w="457"/>
        <w:gridCol w:w="402"/>
        <w:gridCol w:w="402"/>
        <w:gridCol w:w="402"/>
        <w:gridCol w:w="402"/>
        <w:gridCol w:w="402"/>
        <w:gridCol w:w="402"/>
        <w:gridCol w:w="402"/>
        <w:gridCol w:w="402"/>
        <w:gridCol w:w="402"/>
        <w:gridCol w:w="402"/>
        <w:gridCol w:w="402"/>
        <w:gridCol w:w="402"/>
        <w:gridCol w:w="402"/>
        <w:gridCol w:w="568"/>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2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EE2724"/>
                <w:sz w:val="20"/>
              </w:rPr>
            </w:pPr>
            <w:r>
              <w:rPr>
                <w:rFonts w:ascii="Times New Roman;serif" w:hAnsi="Times New Roman;serif"/>
                <w:b/>
                <w:color w:val="EE2724"/>
                <w:sz w:val="20"/>
              </w:rPr>
              <w:t>As filed with the Securities and Exchange Commission on August 6,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No. 333-</w:t>
            </w:r>
          </w:p>
        </w:tc>
      </w:tr>
      <w:tr>
        <w:trPr/>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REGISTRATION STATEMENT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ACT OF 1933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Lexicon Pharmaceuticals,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144" w:type="dxa"/>
        <w:jc w:val="center"/>
        <w:tblInd w:w="0" w:type="dxa"/>
        <w:tblLayout w:type="fixed"/>
        <w:tblCellMar>
          <w:top w:w="28" w:type="dxa"/>
          <w:left w:w="28" w:type="dxa"/>
          <w:bottom w:w="28" w:type="dxa"/>
          <w:right w:w="28" w:type="dxa"/>
        </w:tblCellMar>
      </w:tblPr>
      <w:tblGrid>
        <w:gridCol w:w="1326"/>
        <w:gridCol w:w="1163"/>
        <w:gridCol w:w="1170"/>
        <w:gridCol w:w="434"/>
        <w:gridCol w:w="434"/>
        <w:gridCol w:w="617"/>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76-0474169</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65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2445 Technology Forest Blvd., 11th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Woodlands, Texas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5"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77381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2026 Equity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2026 Non-Employee Directors' Equity Incentive Plan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(Full titles of the plan)</w:t>
      </w:r>
    </w:p>
    <w:p>
      <w:pPr>
        <w:pStyle w:val="TextBody"/>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Michael S. Exton, Ph.D.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2445 Technology Forest Blvd., 11th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Woodlands, Texas 77381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(281) 863-3000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address and telephone number, including area code, of agent for service)</w:t>
      </w:r>
    </w:p>
    <w:p>
      <w:pPr>
        <w:pStyle w:val="TextBody"/>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____________________</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tbl>
      <w:tblPr>
        <w:tblW w:w="6254" w:type="dxa"/>
        <w:jc w:val="center"/>
        <w:tblInd w:w="0" w:type="dxa"/>
        <w:tblLayout w:type="fixed"/>
        <w:tblCellMar>
          <w:top w:w="28" w:type="dxa"/>
          <w:left w:w="28" w:type="dxa"/>
          <w:bottom w:w="28" w:type="dxa"/>
          <w:right w:w="28" w:type="dxa"/>
        </w:tblCellMar>
      </w:tblPr>
      <w:tblGrid>
        <w:gridCol w:w="895"/>
        <w:gridCol w:w="787"/>
        <w:gridCol w:w="793"/>
        <w:gridCol w:w="1105"/>
        <w:gridCol w:w="1105"/>
        <w:gridCol w:w="1569"/>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Jackson A. O'Maley</w:t>
              <w:br/>
              <w:t>Vinson &amp; Elkins L.L.P.</w:t>
              <w:br/>
              <w:t>1001 Fannin, Suite 2500</w:t>
              <w:br/>
              <w:t>Houston, Texas 77002-6760</w:t>
              <w:br/>
              <w:t>(713) 758-2222</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Brian T. Crum</w:t>
              <w:br/>
              <w:t>Senior Vice President and General Counsel</w:t>
              <w:br/>
              <w:t>Lexicon Pharmaceuticals, Inc.</w:t>
              <w:br/>
              <w:t>2445 Technology Forest Blvd., 11th Floor</w:t>
              <w:br/>
              <w:t>The Woodlands, Texas 77381</w:t>
              <w:br/>
              <w:t>(281) 863-3000</w:t>
            </w:r>
          </w:p>
        </w:tc>
      </w:tr>
    </w:tbl>
    <w:p>
      <w:pPr>
        <w:pStyle w:val="TextBody"/>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____________________</w:t>
      </w:r>
    </w:p>
    <w:p>
      <w:pPr>
        <w:pStyle w:val="TextBody"/>
        <w:bidi w:val="0"/>
        <w:spacing w:lineRule="auto" w:line="288" w:before="0" w:after="60"/>
        <w:ind w:left="0" w:right="0" w:firstLine="360"/>
        <w:jc w:val="both"/>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Accelerated filer </w:t>
      </w:r>
      <w:r>
        <w:rPr>
          <w:rFonts w:ascii="Wingdings;sans-serif" w:hAnsi="Wingdings;sans-serif"/>
          <w:b w:val="false"/>
          <w:color w:val="000000"/>
          <w:sz w:val="16"/>
        </w:rPr>
        <w:t xml:space="preserve">o </w:t>
      </w:r>
      <w:r>
        <w:rPr>
          <w:rFonts w:ascii="Times New Roman;serif" w:hAnsi="Times New Roman;serif"/>
          <w:b w:val="false"/>
          <w:color w:val="000000"/>
          <w:sz w:val="16"/>
        </w:rPr>
        <w:t>Non-accelerated filer  </w:t>
      </w:r>
      <w:r>
        <w:rPr>
          <w:color w:val="000000"/>
        </w:rPr>
        <w:t>☑   </w:t>
      </w:r>
      <w:r>
        <w:rPr>
          <w:rFonts w:ascii="Times New Roman;serif" w:hAnsi="Times New Roman;serif"/>
          <w:b w:val="false"/>
          <w:color w:val="000000"/>
          <w:sz w:val="16"/>
        </w:rPr>
        <w:t xml:space="preserve">Smaller reporting company </w:t>
      </w:r>
      <w:r>
        <w:rPr>
          <w:color w:val="000000"/>
        </w:rPr>
        <w:t xml:space="preserve">☑ </w:t>
      </w:r>
      <w:r>
        <w:rPr>
          <w:rFonts w:ascii="Times New Roman;serif" w:hAnsi="Times New Roman;serif"/>
          <w:b w:val="false"/>
          <w:color w:val="000000"/>
          <w:sz w:val="16"/>
        </w:rPr>
        <w:t xml:space="preserve">Emerging growth company </w:t>
      </w:r>
      <w:r>
        <w:rPr>
          <w:rFonts w:ascii="Wingdings;sans-serif" w:hAnsi="Wingdings;sans-serif"/>
          <w:b w:val="false"/>
          <w:color w:val="000000"/>
          <w:sz w:val="16"/>
        </w:rPr>
        <w:t>o</w:t>
      </w:r>
    </w:p>
    <w:p>
      <w:pPr>
        <w:pStyle w:val="TextBody"/>
        <w:bidi w:val="0"/>
        <w:spacing w:before="0" w:after="120"/>
        <w:ind w:left="0" w:right="0" w:firstLine="360"/>
        <w:jc w:val="both"/>
        <w:rPr/>
      </w:pPr>
      <w:r>
        <w:rPr/>
      </w:r>
    </w:p>
    <w:p>
      <w:pPr>
        <w:pStyle w:val="TextBody"/>
        <w:bidi w:val="0"/>
        <w:spacing w:lineRule="auto" w:line="288" w:before="0" w:after="120"/>
        <w:ind w:left="0" w:right="0" w:firstLine="3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12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Lexicon Pharmaceuticals,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previously filed registration statements on Form S-8 (Registration Nos. 333-41532, 333-168678, 333-183020, 333-210145, 333-217873, 333-234569, 333-240169, 333-258568, 333-273683 and 333-289310) registering the issuance of an aggregate of 77,000,000 shares of the Company’s common stock under its 2017 Equity Incentive Plan and an aggregate of 4,200,000 shares of the Company’s common stock under its 2017 Non-Employee Directors’ Equity Incentive Plan.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Company’s stockholders approved an amendment and restatement of the 2017 Equity Incentive Plan that renamed the plan the 2026 Equity Incentive Plan and increased the total number of shares of the Company’s common stock that may be issued pursuant to stock awards granted under the plan from 75,000,000 to 90,000,000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Company’s stockholders approved an amendment and restatement of the 2017 Non-Employee Directors’ Equity Incentive Plan that renamed the plan the 2026 Non-Employee Directors’ Equity Incentive Plan and increased the total number of shares of the Company’s common stock that may be issued pursuant to stock awards granted under the plan from 4,000,000 to 6,000,000 shares.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E to Form S-8 under the Securities Act of 1933, as amended, this registration statement on Form S-8 is being filed by the Company for the purpose of registering the issuance of an additional 15,000,000 shares of the Company’s common stock under the 2026 Equity Incentive Plan and an additional 2,000,000 shares of the Company’s common stock under the 2026 Non-Employee Directors’ Equity Incentive Plan as a result of such increases in the number of shares reserved for issuance under the plans. This registration statement will increase the number of shares registered under the 2026 Equity Incentive Plan and 2026 Non-Employee Directors’ Equity Incentive Plan to 92,000,000 and 6,200,000 shares, respectively. The content contained in the Company’s registration statements on Form S-8 (Registration Nos. 333-41532, 333-168678, 333-183020, 333-210145, 333-217873, 333-234569, 333-240169, 333-258568, 333-273683 and 333-289310) is hereby incorporated by reference pursuant to General Instruction 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127"/>
        <w:gridCol w:w="112"/>
        <w:gridCol w:w="112"/>
        <w:gridCol w:w="222"/>
        <w:gridCol w:w="222"/>
        <w:gridCol w:w="232"/>
        <w:gridCol w:w="112"/>
        <w:gridCol w:w="112"/>
        <w:gridCol w:w="112"/>
        <w:gridCol w:w="115"/>
        <w:gridCol w:w="115"/>
        <w:gridCol w:w="116"/>
        <w:gridCol w:w="2529"/>
        <w:gridCol w:w="2456"/>
        <w:gridCol w:w="3511"/>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S</w:t>
              </w:r>
            </w:hyperlink>
            <w:hyperlink r:id="rId3">
              <w:r>
                <w:rPr>
                  <w:rStyle w:val="InternetLink"/>
                  <w:rFonts w:ascii="Times New Roman;serif" w:hAnsi="Times New Roman;serif"/>
                  <w:b w:val="false"/>
                  <w:color w:val="000080"/>
                  <w:sz w:val="20"/>
                  <w:u w:val="single"/>
                </w:rPr>
                <w:t>eventh</w:t>
              </w:r>
            </w:hyperlink>
            <w:hyperlink r:id="rId4">
              <w:r>
                <w:rPr>
                  <w:rStyle w:val="InternetLink"/>
                  <w:rFonts w:ascii="Times New Roman;serif" w:hAnsi="Times New Roman;serif"/>
                  <w:b w:val="false"/>
                  <w:color w:val="000080"/>
                  <w:sz w:val="20"/>
                  <w:u w:val="single"/>
                </w:rPr>
                <w:t xml:space="preserve"> Amended and Restated Certificate of Incorporation</w:t>
              </w:r>
            </w:hyperlink>
            <w:r>
              <w:rPr>
                <w:color w:val="000000"/>
              </w:rPr>
              <w:t xml:space="preserve"> </w:t>
            </w:r>
            <w:r>
              <w:rPr>
                <w:rFonts w:ascii="Times New Roman;serif" w:hAnsi="Times New Roman;serif"/>
                <w:b w:val="false"/>
                <w:color w:val="000000"/>
                <w:sz w:val="20"/>
              </w:rPr>
              <w:t>(filed as Exhibit 3.1 to the Company’s Current Report on Form 8-K dated April 30, 2026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Bylaws</w:t>
              </w:r>
            </w:hyperlink>
            <w:r>
              <w:rPr>
                <w:color w:val="000000"/>
              </w:rPr>
              <w:t xml:space="preserve"> </w:t>
            </w:r>
            <w:r>
              <w:rPr>
                <w:rFonts w:ascii="Times New Roman;serif" w:hAnsi="Times New Roman;serif"/>
                <w:b w:val="false"/>
                <w:color w:val="000000"/>
                <w:sz w:val="20"/>
              </w:rPr>
              <w:t>(filed as Exhibit 3.2 to the Company’s Current Report on Form 8-K dated April 26, 2012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Securities Purchase Agreement, dated June 17, 2007, with Invus, L.P</w:t>
              </w:r>
            </w:hyperlink>
            <w:r>
              <w:rPr>
                <w:rFonts w:ascii="Times New Roman;serif" w:hAnsi="Times New Roman;serif"/>
                <w:b w:val="false"/>
                <w:color w:val="000000"/>
                <w:sz w:val="20"/>
              </w:rPr>
              <w:t>. (filed as Exhibit 10.1 to the Company’s Current Report on Form 8-K dated June 17, 2007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Amendment, dated October 7, 2009, to Securities Purchase Agreement</w:t>
              </w:r>
            </w:hyperlink>
            <w:r>
              <w:rPr>
                <w:rFonts w:ascii="Times New Roman;serif" w:hAnsi="Times New Roman;serif"/>
                <w:b w:val="false"/>
                <w:color w:val="000000"/>
                <w:sz w:val="20"/>
              </w:rPr>
              <w:t>, dated June 17, 2007, with Invus, L.P. (filed as Exhibit 10.1 to the Company’s Current Report on Form 8-K dated October 7, 2009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Registration Rights Agreement</w:t>
              </w:r>
            </w:hyperlink>
            <w:r>
              <w:rPr>
                <w:rFonts w:ascii="Times New Roman;serif" w:hAnsi="Times New Roman;serif"/>
                <w:b w:val="false"/>
                <w:color w:val="000000"/>
                <w:sz w:val="20"/>
              </w:rPr>
              <w:t>, dated June 17, 2007, with Invus, L.P. (filed as Exhibit 10.3 to the Company’s Current Report on Form 8-K dated June 17, 2007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Stockholders’ Agreement</w:t>
              </w:r>
            </w:hyperlink>
            <w:r>
              <w:rPr>
                <w:rFonts w:ascii="Times New Roman;serif" w:hAnsi="Times New Roman;serif"/>
                <w:b w:val="false"/>
                <w:color w:val="000000"/>
                <w:sz w:val="20"/>
              </w:rPr>
              <w:t>, dated June 17, 2007, with Invus, L.P. (filed as Exhibit 10.4 to the Company’s Current Report on Form 8-K dated June 17, 2007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Supplement to Transaction Agreements</w:t>
              </w:r>
            </w:hyperlink>
            <w:r>
              <w:rPr>
                <w:rFonts w:ascii="Times New Roman;serif" w:hAnsi="Times New Roman;serif"/>
                <w:b w:val="false"/>
                <w:color w:val="000000"/>
                <w:sz w:val="20"/>
              </w:rPr>
              <w:t>, dated March 15, 2010, with Invus, L.P. and Invus C.V. (filed as Exhibit 10.1 to the Company’s Current Report on Form 8-K dated March 15, 2010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Supplement No. 2 to Transaction Agreements</w:t>
              </w:r>
            </w:hyperlink>
            <w:r>
              <w:rPr>
                <w:rFonts w:ascii="Times New Roman;serif" w:hAnsi="Times New Roman;serif"/>
                <w:b w:val="false"/>
                <w:color w:val="000000"/>
                <w:sz w:val="20"/>
              </w:rPr>
              <w:t>, dated February 23, 2012, with Invus, L.P. and Invus C.V. (filed as Exhibit 10.1 to the Company’s Current Report on Form 8-K dated February 23, 2012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Supplement No. 3 to the Transaction Agreements</w:t>
              </w:r>
            </w:hyperlink>
            <w:r>
              <w:rPr>
                <w:rFonts w:ascii="Times New Roman;serif" w:hAnsi="Times New Roman;serif"/>
                <w:b w:val="false"/>
                <w:color w:val="000000"/>
                <w:sz w:val="20"/>
              </w:rPr>
              <w:t>, dated December 16, 2020, with Invus, L.P. and Invus C.V. (filed as Exhibit 10.1 to the Company’s Current Report on Form 8-K dated December 16, 2020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Description of Common Stock</w:t>
              </w:r>
            </w:hyperlink>
            <w:r>
              <w:rPr>
                <w:color w:val="000000"/>
              </w:rPr>
              <w:t xml:space="preserve"> </w:t>
            </w:r>
            <w:r>
              <w:rPr>
                <w:rFonts w:ascii="Times New Roman;serif" w:hAnsi="Times New Roman;serif"/>
                <w:b w:val="false"/>
                <w:color w:val="000000"/>
                <w:sz w:val="20"/>
              </w:rPr>
              <w:t>(filed as Exhibit 4.8 to the Company's Annual Report on Form 10-K for the period ended December 31, 2021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Warrant Agreement</w:t>
              </w:r>
            </w:hyperlink>
            <w:r>
              <w:rPr>
                <w:rFonts w:ascii="Times New Roman;serif" w:hAnsi="Times New Roman;serif"/>
                <w:b w:val="false"/>
                <w:color w:val="000000"/>
                <w:sz w:val="20"/>
              </w:rPr>
              <w:t xml:space="preserve">, dated May 4, 2026, with Hercules Capital, Inc. and affiliated parties (filed as Exhibit 4.1 to the Company's Quarterly Report on Form 10-Q for the period ended June 30, 2026 and incorporated herein by reference). </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veopinion2026.htm">
              <w:r>
                <w:rPr>
                  <w:rStyle w:val="InternetLink"/>
                  <w:rFonts w:ascii="Times New Roman;serif" w:hAnsi="Times New Roman;serif"/>
                  <w:b w:val="false"/>
                  <w:color w:val="0000FF"/>
                  <w:sz w:val="20"/>
                  <w:u w:val="single"/>
                </w:rPr>
                <w:t>Opinion of Vinson &amp; Elkins L.L.P.</w:t>
              </w:r>
            </w:hyperlink>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eyconsent2026.htm">
              <w:r>
                <w:rPr>
                  <w:rStyle w:val="InternetLink"/>
                  <w:rFonts w:ascii="Times New Roman;serif" w:hAnsi="Times New Roman;serif"/>
                  <w:b w:val="false"/>
                  <w:color w:val="0000FF"/>
                  <w:sz w:val="20"/>
                  <w:u w:val="single"/>
                </w:rPr>
                <w:t>Consent of Independent Registered Public Accounting Firm</w:t>
              </w:r>
            </w:hyperlink>
            <w:r>
              <w:rPr>
                <w:rFonts w:ascii="Times New Roman;serif" w:hAnsi="Times New Roman;serif"/>
                <w:b w:val="false"/>
                <w:color w:val="000000"/>
                <w:sz w:val="20"/>
              </w:rPr>
              <w:t>.</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Vinson &amp; Elkins L.L.P. (contained in Exhibit 5.1).</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(contained in signature page).</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80"/>
                  <w:sz w:val="20"/>
                  <w:u w:val="single"/>
                </w:rPr>
                <w:t>20</w:t>
              </w:r>
            </w:hyperlink>
            <w:hyperlink r:id="rId16">
              <w:r>
                <w:rPr>
                  <w:rStyle w:val="InternetLink"/>
                  <w:rFonts w:ascii="Times New Roman;serif" w:hAnsi="Times New Roman;serif"/>
                  <w:b w:val="false"/>
                  <w:color w:val="000080"/>
                  <w:sz w:val="20"/>
                  <w:u w:val="single"/>
                </w:rPr>
                <w:t>26</w:t>
              </w:r>
            </w:hyperlink>
            <w:hyperlink r:id="rId17">
              <w:r>
                <w:rPr>
                  <w:rStyle w:val="InternetLink"/>
                  <w:rFonts w:ascii="Times New Roman;serif" w:hAnsi="Times New Roman;serif"/>
                  <w:b w:val="false"/>
                  <w:color w:val="000080"/>
                  <w:sz w:val="20"/>
                  <w:u w:val="single"/>
                </w:rPr>
                <w:t xml:space="preserve"> Equity Incentive Plan</w:t>
              </w:r>
            </w:hyperlink>
            <w:r>
              <w:rPr>
                <w:color w:val="000000"/>
              </w:rPr>
              <w:t xml:space="preserve"> </w:t>
            </w:r>
            <w:r>
              <w:rPr>
                <w:rFonts w:ascii="Times New Roman;serif" w:hAnsi="Times New Roman;serif"/>
                <w:b w:val="false"/>
                <w:color w:val="000000"/>
                <w:sz w:val="20"/>
              </w:rPr>
              <w:t>(filed as Exhibit 10.1 to the Company’s Current Report on Form 8-K dated April 30, 2026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20"/>
                  <w:u w:val="single"/>
                </w:rPr>
                <w:t>20</w:t>
              </w:r>
            </w:hyperlink>
            <w:hyperlink r:id="rId19">
              <w:r>
                <w:rPr>
                  <w:rStyle w:val="InternetLink"/>
                  <w:rFonts w:ascii="Times New Roman;serif" w:hAnsi="Times New Roman;serif"/>
                  <w:b w:val="false"/>
                  <w:color w:val="000080"/>
                  <w:sz w:val="20"/>
                  <w:u w:val="single"/>
                </w:rPr>
                <w:t>26</w:t>
              </w:r>
            </w:hyperlink>
            <w:hyperlink r:id="rId20">
              <w:r>
                <w:rPr>
                  <w:rStyle w:val="InternetLink"/>
                  <w:rFonts w:ascii="Times New Roman;serif" w:hAnsi="Times New Roman;serif"/>
                  <w:b w:val="false"/>
                  <w:color w:val="000080"/>
                  <w:sz w:val="20"/>
                  <w:u w:val="single"/>
                </w:rPr>
                <w:t xml:space="preserve"> Non-Employee Directors' Equity Incentive Plan</w:t>
              </w:r>
            </w:hyperlink>
            <w:r>
              <w:rPr>
                <w:color w:val="000000"/>
              </w:rPr>
              <w:t xml:space="preserve"> </w:t>
            </w:r>
            <w:r>
              <w:rPr>
                <w:rFonts w:ascii="Times New Roman;serif" w:hAnsi="Times New Roman;serif"/>
                <w:b w:val="false"/>
                <w:color w:val="000000"/>
                <w:sz w:val="20"/>
              </w:rPr>
              <w:t>(filed as Exhibit 10.2 to the Company’s Current Report on Form 8-K dated April 30, 2026 and incorporated by reference herein).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Calculation of Filing Fee Tables</w:t>
              </w:r>
            </w:hyperlink>
            <w:r>
              <w:rPr>
                <w:rFonts w:ascii="Times New Roman;serif" w:hAnsi="Times New Roman;serif"/>
                <w:b w:val="false"/>
                <w:color w:val="000000"/>
                <w:sz w:val="20"/>
              </w:rPr>
              <w:t>.</w:t>
            </w:r>
          </w:p>
        </w:tc>
      </w:tr>
    </w:tbl>
    <w:p>
      <w:pPr>
        <w:pStyle w:val="TextBody"/>
        <w:bidi w:val="0"/>
        <w:spacing w:lineRule="auto" w:line="288" w:before="0" w:after="0"/>
        <w:ind w:left="0" w:right="0" w:hanging="1080"/>
        <w:jc w:val="left"/>
        <w:rPr>
          <w:color w:val="000000"/>
          <w:u w:val="single"/>
        </w:rPr>
      </w:pP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The Woodlands, in the State of Texas, on August 6, 2026.</w:t>
      </w:r>
    </w:p>
    <w:tbl>
      <w:tblPr>
        <w:tblW w:w="4060" w:type="dxa"/>
        <w:jc w:val="right"/>
        <w:tblInd w:w="0" w:type="dxa"/>
        <w:tblLayout w:type="fixed"/>
        <w:tblCellMar>
          <w:top w:w="28" w:type="dxa"/>
          <w:left w:w="28" w:type="dxa"/>
          <w:bottom w:w="28" w:type="dxa"/>
          <w:right w:w="28" w:type="dxa"/>
        </w:tblCellMar>
      </w:tblPr>
      <w:tblGrid>
        <w:gridCol w:w="323"/>
        <w:gridCol w:w="285"/>
        <w:gridCol w:w="285"/>
        <w:gridCol w:w="361"/>
        <w:gridCol w:w="361"/>
        <w:gridCol w:w="361"/>
        <w:gridCol w:w="607"/>
        <w:gridCol w:w="607"/>
        <w:gridCol w:w="870"/>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406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Lexicon Pharmaceuticals, Inc.</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Exton, Ph.D.</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Michael S. Exton, Ph.D.</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appoints Michael S. Exton, Ph.D. and Scott M. Coiante, and each of them, any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or their or his substitute and substitutes, may lawfully do or cause to be done by virtue hereof.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 BELOW.</w:t>
      </w:r>
    </w:p>
    <w:tbl>
      <w:tblPr>
        <w:tblW w:w="10205" w:type="dxa"/>
        <w:jc w:val="center"/>
        <w:tblInd w:w="0" w:type="dxa"/>
        <w:tblLayout w:type="fixed"/>
        <w:tblCellMar>
          <w:top w:w="28" w:type="dxa"/>
          <w:left w:w="28" w:type="dxa"/>
          <w:bottom w:w="28" w:type="dxa"/>
          <w:right w:w="28" w:type="dxa"/>
        </w:tblCellMar>
      </w:tblPr>
      <w:tblGrid>
        <w:gridCol w:w="756"/>
        <w:gridCol w:w="628"/>
        <w:gridCol w:w="634"/>
        <w:gridCol w:w="154"/>
        <w:gridCol w:w="154"/>
        <w:gridCol w:w="155"/>
        <w:gridCol w:w="2160"/>
        <w:gridCol w:w="2133"/>
        <w:gridCol w:w="2162"/>
        <w:gridCol w:w="367"/>
        <w:gridCol w:w="367"/>
        <w:gridCol w:w="535"/>
      </w:tblGrid>
      <w:tr>
        <w:trPr/>
        <w:tc>
          <w:tcPr>
            <w:tcW w:w="75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4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6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Exton, Ph.D.</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1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Exton, Ph.D.</w:t>
            </w:r>
          </w:p>
        </w:tc>
        <w:tc>
          <w:tcPr>
            <w:tcW w:w="6455" w:type="dxa"/>
            <w:gridSpan w:val="3"/>
            <w:vMerge w:val="continue"/>
            <w:tcBorders/>
            <w:tcMar>
              <w:top w:w="0" w:type="dxa"/>
              <w:left w:w="0" w:type="dxa"/>
              <w:bottom w:w="0" w:type="dxa"/>
              <w:right w:w="0" w:type="dxa"/>
            </w:tcMar>
            <w:vAlign w:val="center"/>
          </w:tcPr>
          <w:p>
            <w:pPr>
              <w:pStyle w:val="Normal"/>
              <w:bidi w:val="0"/>
              <w:jc w:val="left"/>
              <w:rPr/>
            </w:pPr>
            <w:r>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M. Coiante</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(Principal Financial and Accounting Officer)</w:t>
            </w:r>
          </w:p>
        </w:tc>
        <w:tc>
          <w:tcPr>
            <w:tcW w:w="1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 Coiante</w:t>
            </w:r>
          </w:p>
        </w:tc>
        <w:tc>
          <w:tcPr>
            <w:tcW w:w="6455" w:type="dxa"/>
            <w:gridSpan w:val="3"/>
            <w:vMerge w:val="continue"/>
            <w:tcBorders/>
            <w:tcMar>
              <w:top w:w="0" w:type="dxa"/>
              <w:left w:w="0" w:type="dxa"/>
              <w:bottom w:w="0" w:type="dxa"/>
              <w:right w:w="0" w:type="dxa"/>
            </w:tcMar>
            <w:vAlign w:val="center"/>
          </w:tcPr>
          <w:p>
            <w:pPr>
              <w:pStyle w:val="Normal"/>
              <w:bidi w:val="0"/>
              <w:jc w:val="left"/>
              <w:rPr/>
            </w:pPr>
            <w:r>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Raymond Debbane</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1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Raymond Debbane</w:t>
            </w:r>
          </w:p>
        </w:tc>
        <w:tc>
          <w:tcPr>
            <w:tcW w:w="6455" w:type="dxa"/>
            <w:gridSpan w:val="3"/>
            <w:vMerge w:val="continue"/>
            <w:tcBorders/>
            <w:tcMar>
              <w:top w:w="0" w:type="dxa"/>
              <w:left w:w="0" w:type="dxa"/>
              <w:bottom w:w="0" w:type="dxa"/>
              <w:right w:w="0" w:type="dxa"/>
            </w:tcMar>
            <w:vAlign w:val="center"/>
          </w:tcPr>
          <w:p>
            <w:pPr>
              <w:pStyle w:val="Normal"/>
              <w:bidi w:val="0"/>
              <w:jc w:val="left"/>
              <w:rPr/>
            </w:pPr>
            <w:r>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Philippe J. Amouyal</w:t>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Philippe J. Amouyal</w:t>
            </w:r>
          </w:p>
        </w:tc>
        <w:tc>
          <w:tcPr>
            <w:tcW w:w="6455" w:type="dxa"/>
            <w:gridSpan w:val="3"/>
            <w:vMerge w:val="continue"/>
            <w:tcBorders/>
            <w:tcMar>
              <w:top w:w="0" w:type="dxa"/>
              <w:left w:w="0" w:type="dxa"/>
              <w:bottom w:w="0" w:type="dxa"/>
              <w:right w:w="0" w:type="dxa"/>
            </w:tcMar>
            <w:vAlign w:val="center"/>
          </w:tcPr>
          <w:p>
            <w:pPr>
              <w:pStyle w:val="Normal"/>
              <w:bidi w:val="0"/>
              <w:jc w:val="left"/>
              <w:rPr/>
            </w:pPr>
            <w:r>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tbl>
      <w:tblPr>
        <w:tblW w:w="4676" w:type="dxa"/>
        <w:jc w:val="left"/>
        <w:tblInd w:w="0" w:type="dxa"/>
        <w:tblLayout w:type="fixed"/>
        <w:tblCellMar>
          <w:top w:w="28" w:type="dxa"/>
          <w:left w:w="28" w:type="dxa"/>
          <w:bottom w:w="28" w:type="dxa"/>
          <w:right w:w="28" w:type="dxa"/>
        </w:tblCellMar>
      </w:tblPr>
      <w:tblGrid>
        <w:gridCol w:w="791"/>
        <w:gridCol w:w="695"/>
        <w:gridCol w:w="703"/>
        <w:gridCol w:w="109"/>
        <w:gridCol w:w="109"/>
        <w:gridCol w:w="109"/>
        <w:gridCol w:w="255"/>
        <w:gridCol w:w="255"/>
        <w:gridCol w:w="256"/>
        <w:gridCol w:w="407"/>
        <w:gridCol w:w="407"/>
        <w:gridCol w:w="580"/>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5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L. Barker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L. Barker, Ph.D.</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Ivan H. Cheung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Ivan H. Cheung</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J. Sobecki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 Sobecki</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Diane E. Sullivan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Diane E. Sullivan</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Judith L. Swain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Judith L. Swain, M.D.</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107.1</w:t>
      </w:r>
    </w:p>
    <w:p>
      <w:pPr>
        <w:pStyle w:val="TextBody"/>
        <w:bidi w:val="0"/>
        <w:spacing w:lineRule="auto" w:line="26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Calculation of Filing Fee Tables</w:t>
      </w:r>
    </w:p>
    <w:p>
      <w:pPr>
        <w:pStyle w:val="TextBody"/>
        <w:bidi w:val="0"/>
        <w:spacing w:before="0" w:after="0"/>
        <w:jc w:val="center"/>
        <w:rPr/>
      </w:pPr>
      <w:r>
        <w:rPr/>
      </w:r>
    </w:p>
    <w:p>
      <w:pPr>
        <w:pStyle w:val="TextBody"/>
        <w:bidi w:val="0"/>
        <w:spacing w:lineRule="auto" w:line="26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6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 xml:space="preserve">Registration Statement </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Lexicon Pharmaceuticals, Inc.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369"/>
        <w:gridCol w:w="369"/>
        <w:gridCol w:w="371"/>
        <w:gridCol w:w="571"/>
        <w:gridCol w:w="381"/>
        <w:gridCol w:w="382"/>
        <w:gridCol w:w="367"/>
        <w:gridCol w:w="367"/>
        <w:gridCol w:w="368"/>
        <w:gridCol w:w="380"/>
        <w:gridCol w:w="343"/>
        <w:gridCol w:w="344"/>
        <w:gridCol w:w="338"/>
        <w:gridCol w:w="806"/>
        <w:gridCol w:w="190"/>
        <w:gridCol w:w="244"/>
        <w:gridCol w:w="1199"/>
        <w:gridCol w:w="135"/>
        <w:gridCol w:w="407"/>
        <w:gridCol w:w="407"/>
        <w:gridCol w:w="264"/>
        <w:gridCol w:w="270"/>
        <w:gridCol w:w="768"/>
        <w:gridCol w:w="2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Table 1 – Newly Registered Securities</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Calculation Rule</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Registered (1)</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 Offering Price Per Unit (2)</w:t>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Aggregate Offering Price (2)</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Registration Fee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3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per share</w:t>
            </w:r>
          </w:p>
        </w:tc>
        <w:tc>
          <w:tcPr>
            <w:tcW w:w="110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Rules 457(c) and 457(h)</w:t>
            </w:r>
          </w:p>
        </w:tc>
        <w:tc>
          <w:tcPr>
            <w:tcW w:w="106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w:t>
            </w:r>
          </w:p>
        </w:tc>
        <w:tc>
          <w:tcPr>
            <w:tcW w:w="338"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9"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34,200,000 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$138.10 per $1,000,000</w:t>
            </w:r>
          </w:p>
        </w:tc>
        <w:tc>
          <w:tcPr>
            <w:tcW w:w="27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4,724 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3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per share</w:t>
            </w:r>
          </w:p>
        </w:tc>
        <w:tc>
          <w:tcPr>
            <w:tcW w:w="110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Rules 457(c) and 457(h)</w:t>
            </w:r>
          </w:p>
        </w:tc>
        <w:tc>
          <w:tcPr>
            <w:tcW w:w="106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2,000,000</w:t>
            </w:r>
          </w:p>
        </w:tc>
        <w:tc>
          <w:tcPr>
            <w:tcW w:w="338"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9"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4,560,000 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$138.10 per $1,000,000</w:t>
            </w:r>
          </w:p>
        </w:tc>
        <w:tc>
          <w:tcPr>
            <w:tcW w:w="27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288"/>
              <w:jc w:val="left"/>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24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9"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38,760,000 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27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5,354 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288"/>
              <w:jc w:val="lef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578"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078"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r>
      <w:tr>
        <w:trPr/>
        <w:tc>
          <w:tcPr>
            <w:tcW w:w="278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288"/>
              <w:jc w:val="lef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578"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078"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27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5,354 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________________ </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The Form S-8 registration statement to which this Exhibit 107.1 is attached registers 17,000,000 shares of common stock, par value $0.001 of Lexicon Pharmaceuticals, Inc., a Delaware corporation, pursuant to the 2026 Equity Incentive Plan or 2026 Non-Employee Directors’ Equity Incentive Plan (the “Plans”), as noted above. Pursuant to Rule 416 under the Securities Act of 1933, as amended (the “Securities Act”), the Registration Statement shall be deemed to cover an indeterminate number of additional shares of Common Stock as may be necessary to adjust the number of shares of common stock that may become issuable by reason of stock splits, stock dividends or similar transactions pursuant to the anti-dilution provisions of the Plans.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Estimated solely for purposes of calculating the registration fee, in accordance with Rule 457(h), on the basis of the price of securities of the same class, as determined in accordance with Rule 457(c), using the average of the high and low prices for the common stock reported on The Nasdaq Capital Market on August 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[Vinson &amp; Elkins, LLP Letterhead]</w:t>
      </w:r>
      <w:r>
        <w:rPr>
          <w:color w:val="000000"/>
        </w:rPr>
        <w:t>        </w:t>
      </w:r>
      <w:r>
        <w:rPr>
          <w:rFonts w:ascii="Times New Roman;serif" w:hAnsi="Times New Roman;serif"/>
          <w:b/>
          <w:color w:val="000000"/>
          <w:sz w:val="22"/>
        </w:rPr>
        <w:t>Exhibit 5.1</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August 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Lexicon Pharmaceuticals, Inc. </w:t>
      </w:r>
    </w:p>
    <w:p>
      <w:pPr>
        <w:pStyle w:val="TextBody"/>
        <w:bidi w:val="0"/>
        <w:spacing w:lineRule="auto" w:line="268" w:before="0" w:after="0"/>
        <w:jc w:val="both"/>
        <w:rPr/>
      </w:pPr>
      <w:r>
        <w:rPr>
          <w:rFonts w:ascii="Times New Roman;serif" w:hAnsi="Times New Roman;serif"/>
          <w:b w:val="false"/>
          <w:color w:val="000000"/>
          <w:sz w:val="22"/>
        </w:rPr>
        <w:t>2445 Technology Forest Blvd., 11</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Fl.</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Woodlands, Texas 77381</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We have acted as counsel for Lexicon Pharmaceuticals, Inc., a Delaware corporation (the “Company”), in connection with the Company’s registration under the Securities Act of 1933, as amended (the “Act”), of the offer and sale of an aggregate of up to (i) 15,000,000</w:t>
      </w:r>
      <w:r>
        <w:rPr>
          <w:color w:val="000000"/>
        </w:rPr>
        <w:t xml:space="preserve"> </w:t>
      </w:r>
      <w:r>
        <w:rPr>
          <w:rFonts w:ascii="Times New Roman;serif" w:hAnsi="Times New Roman;serif"/>
          <w:b w:val="false"/>
          <w:color w:val="000000"/>
          <w:sz w:val="22"/>
        </w:rPr>
        <w:t>shares of the Company’s common stock, par value $0.01 per share (the “Shares”), pursuant to the Company’s registration statement on Form S-8 (the “Registration Statement”) to be filed with the Securities and Exchange Commission on August 4, 2026, which Shares may be issued from time to time in accordance with the terms of the Lexicon Pharmaceuticals, Inc. 2026 Equity Incentive Plan (as amended from time to time, the “Plan”) and (ii) 2,000,000 Shares pursuant to the Registration Statement, which Shares may be issued from time to time in accordance with the terms of the Lexicon Pharmaceuticals, Inc. 2026 Non-Employee Directors’ Equity Incentive Plan (as amended from time to time, the “NED Plan”).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the NED Plan, and (iv) such other certificates, instruments, and documents as we have considered necessary for purposes of this opinion.</w:t>
      </w:r>
      <w:r>
        <w:rPr>
          <w:color w:val="000000"/>
        </w:rPr>
        <w:t xml:space="preserve"> </w:t>
      </w:r>
      <w:r>
        <w:rPr>
          <w:rFonts w:ascii="Times New Roman;serif" w:hAnsi="Times New Roman;serif"/>
          <w:b w:val="false"/>
          <w:color w:val="000000"/>
          <w:sz w:val="22"/>
        </w:rPr>
        <w:t>As to any facts material to our opinions, we have made no independent investigation or verification of such facts and have relied, to the extent that we deem such reliance proper, upon certificates of public officials and officers or other representatives of the Company.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Shares will be issued in accordance with the terms of the Plan and the NED Plan.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Based on the foregoing and subject to the limitations set forth herein, and having due regard for the legal considerations we deem relevant, we are of the opinion that the Shares have been duly authorized and, when the Shares are issued by the Company in accordance with the terms of the Plan and the NED Plan and the instruments executed pursuant to the Plan and the NED Plan, as applicable, the Shares will be validly issued, fully paid and non-assessable.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This opinion is limited in all respects to the General Corporation Law of the State of Delaware.</w:t>
      </w:r>
      <w:r>
        <w:rPr>
          <w:color w:val="000000"/>
        </w:rPr>
        <w:t xml:space="preserve"> </w:t>
      </w:r>
      <w:r>
        <w:rPr>
          <w:rFonts w:ascii="Times New Roman;serif" w:hAnsi="Times New Roman;serif"/>
          <w:b w:val="false"/>
          <w:color w:val="000000"/>
          <w:sz w:val="22"/>
        </w:rPr>
        <w:t>We express no opinion as to any other law or any matter other than as expressly set forth above, and no opinion as to any other law or matter may be inferred or implied herefrom.</w:t>
      </w:r>
      <w:r>
        <w:rPr>
          <w:color w:val="000000"/>
        </w:rPr>
        <w:t xml:space="preserve"> </w:t>
      </w:r>
      <w:r>
        <w:rPr>
          <w:rFonts w:ascii="Times New Roman;serif" w:hAnsi="Times New Roman;serif"/>
          <w:b w:val="false"/>
          <w:color w:val="000000"/>
          <w:sz w:val="22"/>
        </w:rPr>
        <w:t>The opinions expressed herein are rendered as of the date hereof, and we expressly disclaim any obligation to update this letter or advise you of any change in any matter after the date hereof.</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2"/>
        </w:rPr>
        <w:t>This opinion may be filed as an exhibit to the Registration Statement.</w:t>
      </w:r>
      <w:r>
        <w:rPr>
          <w:color w:val="000000"/>
        </w:rPr>
        <w:t xml:space="preserve"> </w:t>
      </w:r>
      <w:r>
        <w:rPr>
          <w:rFonts w:ascii="Times New Roman;serif" w:hAnsi="Times New Roman;serif"/>
          <w:b w:val="false"/>
          <w:color w:val="000000"/>
          <w:sz w:val="22"/>
        </w:rPr>
        <w:t>In giving this consent, we do not thereby admit that we come within the category of persons whose consent is required under Section 7 of the Act.</w:t>
      </w:r>
    </w:p>
    <w:p>
      <w:pPr>
        <w:pStyle w:val="TextBody"/>
        <w:bidi w:val="0"/>
        <w:spacing w:lineRule="auto" w:line="264" w:before="0" w:after="240"/>
        <w:jc w:val="right"/>
        <w:rPr>
          <w:color w:val="000000"/>
        </w:rPr>
      </w:pPr>
      <w:r>
        <w:rPr>
          <w:color w:val="000000"/>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color w:val="000000"/>
        </w:rPr>
        <w:t>    </w:t>
      </w: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Vinson &amp; Elkins L.L.P.</w:t>
      </w:r>
    </w:p>
    <w:p>
      <w:pPr>
        <w:pStyle w:val="TextBody"/>
        <w:bidi w:val="0"/>
        <w:spacing w:lineRule="auto" w:line="26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Vinson &amp; Elkins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16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 (Form S-8) pertaining to the 2026 Equity Incentive Plan and the 2026 Non-Employee Directors' Equity Incentive Plan of Lexicon Pharmaceuticals, Inc. of our report dated March 5, 2026, with respect to the consolidated financial statements of Lexicon Pharmaceuticals, Inc.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2822/000106282226000065/seventhamendedandrestate.htm" TargetMode="External"/><Relationship Id="rId3" Type="http://schemas.openxmlformats.org/officeDocument/2006/relationships/hyperlink" Target="https://www.sec.gov/Archives/edgar/data/1062822/000106282226000065/seventhamendedandrestate.htm" TargetMode="External"/><Relationship Id="rId4" Type="http://schemas.openxmlformats.org/officeDocument/2006/relationships/hyperlink" Target="https://www.sec.gov/Archives/edgar/data/1062822/000106282226000065/seventhamendedandrestate.htm" TargetMode="External"/><Relationship Id="rId5" Type="http://schemas.openxmlformats.org/officeDocument/2006/relationships/hyperlink" Target="http://www.sec.gov/Archives/edgar/data/1062822/000106282212000016/exh32secondamendedandresta.htm" TargetMode="External"/><Relationship Id="rId6" Type="http://schemas.openxmlformats.org/officeDocument/2006/relationships/hyperlink" Target="http://www.sec.gov/Archives/edgar/data/1062822/000095013407013586/h47609cexv10w1.htm" TargetMode="External"/><Relationship Id="rId7" Type="http://schemas.openxmlformats.org/officeDocument/2006/relationships/hyperlink" Target="http://www.sec.gov/Archives/edgar/data/1062822/000106282209000118/exh10_1.htm" TargetMode="External"/><Relationship Id="rId8" Type="http://schemas.openxmlformats.org/officeDocument/2006/relationships/hyperlink" Target="http://www.sec.gov/Archives/edgar/data/1062822/000095013407013586/h47609cexv10w3.htm" TargetMode="External"/><Relationship Id="rId9" Type="http://schemas.openxmlformats.org/officeDocument/2006/relationships/hyperlink" Target="http://www.sec.gov/Archives/edgar/data/1062822/000095013407013586/h47609cexv10w4.htm" TargetMode="External"/><Relationship Id="rId10" Type="http://schemas.openxmlformats.org/officeDocument/2006/relationships/hyperlink" Target="http://www.sec.gov/Archives/edgar/data/1062822/000095012310024973/h70210exv10w1.htm" TargetMode="External"/><Relationship Id="rId11" Type="http://schemas.openxmlformats.org/officeDocument/2006/relationships/hyperlink" Target="http://www.sec.gov/Archives/edgar/data/1062822/000106282212000005/exhibit101.htm" TargetMode="External"/><Relationship Id="rId12" Type="http://schemas.openxmlformats.org/officeDocument/2006/relationships/hyperlink" Target="http://www.sec.gov/Archives/edgar/data/1062822/000119312520321518/d87169dex101.htm" TargetMode="External"/><Relationship Id="rId13" Type="http://schemas.openxmlformats.org/officeDocument/2006/relationships/hyperlink" Target="http://www.sec.gov/Archives/edgar/data/1062822/000106282221000013/exh411descriptionofcommons.htm" TargetMode="External"/><Relationship Id="rId14" Type="http://schemas.openxmlformats.org/officeDocument/2006/relationships/hyperlink" Target="https://www.sec.gov/Archives/edgar/data/1062822/000106282226000117/exhibit41formofwarrantag.htm" TargetMode="External"/><Relationship Id="rId15" Type="http://schemas.openxmlformats.org/officeDocument/2006/relationships/hyperlink" Target="https://www.sec.gov/Archives/edgar/data/1062822/000106282226000065/a2026equityincentiveplan.htm" TargetMode="External"/><Relationship Id="rId16" Type="http://schemas.openxmlformats.org/officeDocument/2006/relationships/hyperlink" Target="https://www.sec.gov/Archives/edgar/data/1062822/000106282226000065/a2026equityincentiveplan.htm" TargetMode="External"/><Relationship Id="rId17" Type="http://schemas.openxmlformats.org/officeDocument/2006/relationships/hyperlink" Target="https://www.sec.gov/Archives/edgar/data/1062822/000106282226000065/a2026equityincentiveplan.htm" TargetMode="External"/><Relationship Id="rId18" Type="http://schemas.openxmlformats.org/officeDocument/2006/relationships/hyperlink" Target="https://www.sec.gov/Archives/edgar/data/1062822/000106282226000065/a2026non-employeedirecto.htm" TargetMode="External"/><Relationship Id="rId19" Type="http://schemas.openxmlformats.org/officeDocument/2006/relationships/hyperlink" Target="https://www.sec.gov/Archives/edgar/data/1062822/000106282226000065/a2026non-employeedirecto.htm" TargetMode="External"/><Relationship Id="rId20" Type="http://schemas.openxmlformats.org/officeDocument/2006/relationships/hyperlink" Target="https://www.sec.gov/Archives/edgar/data/1062822/000106282226000065/a2026non-employeedirecto.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2534</Words>
  <Characters>13789</Characters>
  <CharactersWithSpaces>16169</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