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40435ds3.htm"/>
        <w:bookmarkStart w:id="1" w:name="ksd140435ds3"/>
        <w:bookmarkEnd w:id="0"/>
        <w:bookmarkEnd w:id="1"/>
        <w:r>
          <w:rPr>
            <w:rStyle w:val="InternetLink"/>
            <w:b/>
            <w:sz w:val="20"/>
          </w:rPr>
          <w:t>Table of Contents</w:t>
        </w:r>
      </w:hyperlink>
    </w:p>
    <w:p>
      <w:pPr>
        <w:pStyle w:val="TextBody"/>
        <w:bidi w:val="0"/>
        <w:spacing w:before="0" w:after="0"/>
        <w:jc w:val="center"/>
        <w:rPr>
          <w:rFonts w:ascii="Times New Roman" w:hAnsi="Times New Roman"/>
          <w:b/>
          <w:sz w:val="18"/>
        </w:rPr>
      </w:pPr>
      <w:r>
        <w:rPr>
          <w:rFonts w:ascii="Times New Roman" w:hAnsi="Times New Roman"/>
          <w:b/>
          <w:sz w:val="18"/>
        </w:rPr>
        <w:t xml:space="preserve">As filed with the U.S. Securities and Exchange Commission on August 6, 2026 </w:t>
      </w:r>
    </w:p>
    <w:p>
      <w:pPr>
        <w:pStyle w:val="TextBody"/>
        <w:bidi w:val="0"/>
        <w:spacing w:before="0" w:after="0"/>
        <w:jc w:val="right"/>
        <w:rPr>
          <w:rFonts w:ascii="Times New Roman" w:hAnsi="Times New Roman"/>
          <w:b/>
          <w:sz w:val="18"/>
        </w:rPr>
      </w:pPr>
      <w:r>
        <w:rPr>
          <w:rFonts w:ascii="Times New Roman" w:hAnsi="Times New Roman"/>
          <w:b/>
          <w:sz w:val="18"/>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2"/>
        </w:rPr>
      </w:pPr>
      <w:r>
        <w:rPr>
          <w:rFonts w:ascii="Times New Roman" w:hAnsi="Times New Roman"/>
          <w:b/>
          <w:sz w:val="32"/>
        </w:rPr>
        <w:t xml:space="preserve">FORM S-3 </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2"/>
        </w:rPr>
      </w:pPr>
      <w:r>
        <w:rPr>
          <w:rFonts w:ascii="Times New Roman" w:hAnsi="Times New Roman"/>
          <w:b/>
          <w:i/>
          <w:sz w:val="22"/>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Lexicon Pharmaceuticals, Inc. </w:t>
      </w:r>
    </w:p>
    <w:p>
      <w:pPr>
        <w:pStyle w:val="TextBody"/>
        <w:bidi w:val="0"/>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36-4904146</w:t>
            </w:r>
          </w:p>
        </w:tc>
      </w:tr>
      <w:tr>
        <w:trPr/>
        <w:tc>
          <w:tcPr>
            <w:tcW w:w="5154" w:type="dxa"/>
            <w:tcBorders/>
          </w:tcPr>
          <w:p>
            <w:pPr>
              <w:pStyle w:val="TableContents"/>
              <w:bidi w:val="0"/>
              <w:spacing w:before="0" w:after="0"/>
              <w:jc w:val="center"/>
              <w:rPr>
                <w:rFonts w:ascii="Times New Roman" w:hAnsi="Times New Roman"/>
                <w:b/>
                <w:sz w:val="18"/>
              </w:rPr>
            </w:pPr>
            <w:r>
              <w:rPr>
                <w:rFonts w:ascii="Times New Roman" w:hAnsi="Times New Roman"/>
                <w:b/>
                <w:sz w:val="18"/>
              </w:rPr>
              <w:t>(State or other jurisdiction of</w:t>
            </w:r>
          </w:p>
          <w:p>
            <w:pPr>
              <w:pStyle w:val="TableContents"/>
              <w:bidi w:val="0"/>
              <w:spacing w:before="0" w:after="20"/>
              <w:jc w:val="center"/>
              <w:rPr>
                <w:rFonts w:ascii="Times New Roman" w:hAnsi="Times New Roman"/>
                <w:b/>
                <w:sz w:val="18"/>
              </w:rPr>
            </w:pPr>
            <w:r>
              <w:rPr>
                <w:rFonts w:ascii="Times New Roman" w:hAnsi="Times New Roman"/>
                <w:b/>
                <w:sz w:val="18"/>
              </w:rP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8"/>
              </w:rPr>
            </w:pPr>
            <w:r>
              <w:rPr>
                <w:rFonts w:ascii="Times New Roman" w:hAnsi="Times New Roman"/>
                <w:b/>
                <w:sz w:val="18"/>
              </w:rPr>
              <w:t>(I.R.S. Employer</w:t>
            </w:r>
          </w:p>
          <w:p>
            <w:pPr>
              <w:pStyle w:val="TableContents"/>
              <w:bidi w:val="0"/>
              <w:spacing w:before="0" w:after="20"/>
              <w:jc w:val="center"/>
              <w:rPr>
                <w:rFonts w:ascii="Times New Roman" w:hAnsi="Times New Roman"/>
                <w:b/>
                <w:sz w:val="18"/>
              </w:rPr>
            </w:pPr>
            <w:r>
              <w:rPr>
                <w:rFonts w:ascii="Times New Roman" w:hAnsi="Times New Roman"/>
                <w:b/>
                <w:sz w:val="18"/>
              </w:rPr>
              <w:t>Identification No.)</w:t>
            </w:r>
          </w:p>
        </w:tc>
      </w:tr>
    </w:tbl>
    <w:p>
      <w:pPr>
        <w:pStyle w:val="TextBody"/>
        <w:bidi w:val="0"/>
        <w:spacing w:before="120" w:after="0"/>
        <w:jc w:val="center"/>
        <w:rPr>
          <w:rFonts w:ascii="Times New Roman" w:hAnsi="Times New Roman"/>
          <w:b/>
          <w:sz w:val="18"/>
        </w:rPr>
      </w:pPr>
      <w:r>
        <w:rPr>
          <w:rFonts w:ascii="Times New Roman" w:hAnsi="Times New Roman"/>
          <w:b/>
          <w:sz w:val="18"/>
        </w:rPr>
        <w:t xml:space="preserve">2445 Technology Forest Blvd., 11th Floor </w:t>
      </w:r>
    </w:p>
    <w:p>
      <w:pPr>
        <w:pStyle w:val="TextBody"/>
        <w:bidi w:val="0"/>
        <w:spacing w:before="0" w:after="0"/>
        <w:jc w:val="center"/>
        <w:rPr>
          <w:rFonts w:ascii="Times New Roman" w:hAnsi="Times New Roman"/>
          <w:b/>
          <w:sz w:val="18"/>
        </w:rPr>
      </w:pPr>
      <w:r>
        <w:rPr>
          <w:rFonts w:ascii="Times New Roman" w:hAnsi="Times New Roman"/>
          <w:b/>
          <w:sz w:val="18"/>
        </w:rPr>
        <w:t xml:space="preserve">Houston, Texas 77381 </w:t>
      </w:r>
    </w:p>
    <w:p>
      <w:pPr>
        <w:pStyle w:val="TextBody"/>
        <w:bidi w:val="0"/>
        <w:spacing w:before="0" w:after="0"/>
        <w:jc w:val="center"/>
        <w:rPr>
          <w:rFonts w:ascii="Times New Roman" w:hAnsi="Times New Roman"/>
          <w:b/>
          <w:sz w:val="18"/>
        </w:rPr>
      </w:pPr>
      <w:r>
        <w:rPr>
          <w:rFonts w:ascii="Times New Roman" w:hAnsi="Times New Roman"/>
          <w:b/>
          <w:sz w:val="18"/>
        </w:rPr>
        <w:t xml:space="preserve">(281) 863-3000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8"/>
        </w:rPr>
      </w:pPr>
      <w:r>
        <w:rPr>
          <w:rFonts w:ascii="Times New Roman" w:hAnsi="Times New Roman"/>
          <w:b/>
          <w:sz w:val="18"/>
        </w:rPr>
        <w:t xml:space="preserve">Michael S. Exton, Ph.D. </w:t>
      </w:r>
    </w:p>
    <w:p>
      <w:pPr>
        <w:pStyle w:val="TextBody"/>
        <w:bidi w:val="0"/>
        <w:spacing w:before="0" w:after="0"/>
        <w:jc w:val="center"/>
        <w:rPr>
          <w:rFonts w:ascii="Times New Roman" w:hAnsi="Times New Roman"/>
          <w:b/>
          <w:sz w:val="18"/>
        </w:rPr>
      </w:pPr>
      <w:r>
        <w:rPr>
          <w:rFonts w:ascii="Times New Roman" w:hAnsi="Times New Roman"/>
          <w:b/>
          <w:sz w:val="18"/>
        </w:rPr>
        <w:t xml:space="preserve">Chief Executive Officer </w:t>
      </w:r>
    </w:p>
    <w:p>
      <w:pPr>
        <w:pStyle w:val="TextBody"/>
        <w:bidi w:val="0"/>
        <w:spacing w:before="0" w:after="0"/>
        <w:jc w:val="center"/>
        <w:rPr>
          <w:rFonts w:ascii="Times New Roman" w:hAnsi="Times New Roman"/>
          <w:b/>
          <w:sz w:val="18"/>
        </w:rPr>
      </w:pPr>
      <w:r>
        <w:rPr>
          <w:rFonts w:ascii="Times New Roman" w:hAnsi="Times New Roman"/>
          <w:b/>
          <w:sz w:val="18"/>
        </w:rPr>
        <w:t xml:space="preserve">2445 Technology Forest Blvd., 11th Floor </w:t>
      </w:r>
    </w:p>
    <w:p>
      <w:pPr>
        <w:pStyle w:val="TextBody"/>
        <w:bidi w:val="0"/>
        <w:spacing w:before="0" w:after="0"/>
        <w:jc w:val="center"/>
        <w:rPr>
          <w:rFonts w:ascii="Times New Roman" w:hAnsi="Times New Roman"/>
          <w:b/>
          <w:sz w:val="18"/>
        </w:rPr>
      </w:pPr>
      <w:r>
        <w:rPr>
          <w:rFonts w:ascii="Times New Roman" w:hAnsi="Times New Roman"/>
          <w:b/>
          <w:sz w:val="18"/>
        </w:rPr>
        <w:t xml:space="preserve">Houston, Texas 77381 </w:t>
      </w:r>
    </w:p>
    <w:p>
      <w:pPr>
        <w:pStyle w:val="TextBody"/>
        <w:bidi w:val="0"/>
        <w:spacing w:before="0" w:after="0"/>
        <w:jc w:val="center"/>
        <w:rPr>
          <w:rFonts w:ascii="Times New Roman" w:hAnsi="Times New Roman"/>
          <w:b/>
          <w:sz w:val="18"/>
        </w:rPr>
      </w:pPr>
      <w:r>
        <w:rPr>
          <w:rFonts w:ascii="Times New Roman" w:hAnsi="Times New Roman"/>
          <w:b/>
          <w:sz w:val="18"/>
        </w:rPr>
        <w:t xml:space="preserve">(281) 863-3000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120" w:after="0"/>
        <w:jc w:val="center"/>
        <w:rPr>
          <w:rFonts w:ascii="Times New Roman" w:hAnsi="Times New Roman"/>
          <w:b/>
          <w:sz w:val="18"/>
        </w:rPr>
      </w:pPr>
      <w:r>
        <w:rPr>
          <w:rFonts w:ascii="Times New Roman" w:hAnsi="Times New Roman"/>
          <w:b/>
          <w:sz w:val="18"/>
        </w:rPr>
        <w:t xml:space="preserve">David P. Oelman </w:t>
      </w:r>
    </w:p>
    <w:p>
      <w:pPr>
        <w:pStyle w:val="TextBody"/>
        <w:bidi w:val="0"/>
        <w:spacing w:before="0" w:after="0"/>
        <w:jc w:val="center"/>
        <w:rPr>
          <w:rFonts w:ascii="Times New Roman" w:hAnsi="Times New Roman"/>
          <w:b/>
          <w:sz w:val="18"/>
        </w:rPr>
      </w:pPr>
      <w:r>
        <w:rPr>
          <w:rFonts w:ascii="Times New Roman" w:hAnsi="Times New Roman"/>
          <w:b/>
          <w:sz w:val="18"/>
        </w:rPr>
        <w:t xml:space="preserve">Jackson A. O’Maley </w:t>
      </w:r>
    </w:p>
    <w:p>
      <w:pPr>
        <w:pStyle w:val="TextBody"/>
        <w:bidi w:val="0"/>
        <w:spacing w:before="0" w:after="0"/>
        <w:jc w:val="center"/>
        <w:rPr>
          <w:rFonts w:ascii="Times New Roman" w:hAnsi="Times New Roman"/>
          <w:b/>
          <w:sz w:val="18"/>
        </w:rPr>
      </w:pPr>
      <w:r>
        <w:rPr>
          <w:rFonts w:ascii="Times New Roman" w:hAnsi="Times New Roman"/>
          <w:b/>
          <w:sz w:val="18"/>
        </w:rPr>
        <w:t xml:space="preserve">Vinson &amp; Elkins L.L.P. </w:t>
      </w:r>
    </w:p>
    <w:p>
      <w:pPr>
        <w:pStyle w:val="TextBody"/>
        <w:bidi w:val="0"/>
        <w:spacing w:before="0" w:after="0"/>
        <w:jc w:val="center"/>
        <w:rPr>
          <w:rFonts w:ascii="Times New Roman" w:hAnsi="Times New Roman"/>
          <w:b/>
          <w:sz w:val="18"/>
        </w:rPr>
      </w:pPr>
      <w:r>
        <w:rPr>
          <w:rFonts w:ascii="Times New Roman" w:hAnsi="Times New Roman"/>
          <w:b/>
          <w:sz w:val="18"/>
        </w:rPr>
        <w:t xml:space="preserve">845 Texas Ave, Suite 4700 </w:t>
      </w:r>
    </w:p>
    <w:p>
      <w:pPr>
        <w:pStyle w:val="TextBody"/>
        <w:bidi w:val="0"/>
        <w:spacing w:before="0" w:after="0"/>
        <w:jc w:val="center"/>
        <w:rPr>
          <w:rFonts w:ascii="Times New Roman" w:hAnsi="Times New Roman"/>
          <w:b/>
          <w:sz w:val="18"/>
        </w:rPr>
      </w:pPr>
      <w:r>
        <w:rPr>
          <w:rFonts w:ascii="Times New Roman" w:hAnsi="Times New Roman"/>
          <w:b/>
          <w:sz w:val="18"/>
        </w:rPr>
        <w:t xml:space="preserve">Houston, Texas 77002 </w:t>
      </w:r>
    </w:p>
    <w:p>
      <w:pPr>
        <w:pStyle w:val="TextBody"/>
        <w:bidi w:val="0"/>
        <w:spacing w:before="0" w:after="0"/>
        <w:jc w:val="center"/>
        <w:rPr>
          <w:rFonts w:ascii="Times New Roman" w:hAnsi="Times New Roman"/>
          <w:b/>
          <w:sz w:val="18"/>
        </w:rPr>
      </w:pPr>
      <w:r>
        <w:rPr>
          <w:rFonts w:ascii="Times New Roman" w:hAnsi="Times New Roman"/>
          <w:b/>
          <w:sz w:val="18"/>
        </w:rPr>
        <w:t xml:space="preserve">(713) 758-2222 </w:t>
      </w:r>
    </w:p>
    <w:p>
      <w:pPr>
        <w:pStyle w:val="TextBody"/>
        <w:bidi w:val="0"/>
        <w:spacing w:before="80" w:after="0"/>
        <w:jc w:val="center"/>
        <w:rPr>
          <w:rFonts w:ascii="Times New Roman" w:hAnsi="Times New Roman"/>
          <w:b/>
          <w:sz w:val="18"/>
        </w:rPr>
      </w:pPr>
      <w:r>
        <w:rPr>
          <w:rFonts w:ascii="Times New Roman" w:hAnsi="Times New Roman"/>
          <w:b/>
          <w:sz w:val="18"/>
        </w:rPr>
        <w:t xml:space="preserve">Brian T. Crum </w:t>
      </w:r>
    </w:p>
    <w:p>
      <w:pPr>
        <w:pStyle w:val="TextBody"/>
        <w:bidi w:val="0"/>
        <w:spacing w:before="0" w:after="0"/>
        <w:jc w:val="center"/>
        <w:rPr>
          <w:rFonts w:ascii="Times New Roman" w:hAnsi="Times New Roman"/>
          <w:b/>
          <w:sz w:val="18"/>
        </w:rPr>
      </w:pPr>
      <w:r>
        <w:rPr>
          <w:rFonts w:ascii="Times New Roman" w:hAnsi="Times New Roman"/>
          <w:b/>
          <w:sz w:val="18"/>
        </w:rPr>
        <w:t xml:space="preserve">Senior Vice President and General Counsel </w:t>
      </w:r>
    </w:p>
    <w:p>
      <w:pPr>
        <w:pStyle w:val="TextBody"/>
        <w:bidi w:val="0"/>
        <w:spacing w:before="0" w:after="0"/>
        <w:jc w:val="center"/>
        <w:rPr>
          <w:rFonts w:ascii="Times New Roman" w:hAnsi="Times New Roman"/>
          <w:b/>
          <w:sz w:val="18"/>
        </w:rPr>
      </w:pPr>
      <w:r>
        <w:rPr>
          <w:rFonts w:ascii="Times New Roman" w:hAnsi="Times New Roman"/>
          <w:b/>
          <w:sz w:val="18"/>
        </w:rPr>
        <w:t xml:space="preserve">Lexicon Pharmaceuticals, Inc. </w:t>
      </w:r>
    </w:p>
    <w:p>
      <w:pPr>
        <w:pStyle w:val="TextBody"/>
        <w:bidi w:val="0"/>
        <w:spacing w:before="0" w:after="0"/>
        <w:jc w:val="center"/>
        <w:rPr>
          <w:rFonts w:ascii="Times New Roman" w:hAnsi="Times New Roman"/>
          <w:b/>
          <w:sz w:val="18"/>
        </w:rPr>
      </w:pPr>
      <w:r>
        <w:rPr>
          <w:rFonts w:ascii="Times New Roman" w:hAnsi="Times New Roman"/>
          <w:b/>
          <w:sz w:val="18"/>
        </w:rPr>
        <w:t xml:space="preserve">2445 Technology Forest Blvd., 11th Floor </w:t>
      </w:r>
    </w:p>
    <w:p>
      <w:pPr>
        <w:pStyle w:val="TextBody"/>
        <w:bidi w:val="0"/>
        <w:spacing w:before="0" w:after="0"/>
        <w:jc w:val="center"/>
        <w:rPr>
          <w:rFonts w:ascii="Times New Roman" w:hAnsi="Times New Roman"/>
          <w:b/>
          <w:sz w:val="18"/>
        </w:rPr>
      </w:pPr>
      <w:r>
        <w:rPr>
          <w:rFonts w:ascii="Times New Roman" w:hAnsi="Times New Roman"/>
          <w:b/>
          <w:sz w:val="18"/>
        </w:rPr>
        <w:t xml:space="preserve">The Woodlands, Texas 77381 </w:t>
      </w:r>
    </w:p>
    <w:p>
      <w:pPr>
        <w:pStyle w:val="TextBody"/>
        <w:bidi w:val="0"/>
        <w:spacing w:before="0" w:after="0"/>
        <w:jc w:val="center"/>
        <w:rPr>
          <w:rFonts w:ascii="Times New Roman" w:hAnsi="Times New Roman"/>
          <w:b/>
          <w:sz w:val="18"/>
        </w:rPr>
      </w:pPr>
      <w:r>
        <w:rPr>
          <w:rFonts w:ascii="Times New Roman" w:hAnsi="Times New Roman"/>
          <w:b/>
          <w:sz w:val="18"/>
        </w:rPr>
        <w:t xml:space="preserve">(281) 863-3000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b/>
          <w:sz w:val="18"/>
        </w:rPr>
      </w:pPr>
      <w:r>
        <w:rPr>
          <w:rFonts w:ascii="Times New Roman" w:hAnsi="Times New Roman"/>
          <w:b/>
          <w:sz w:val="18"/>
        </w:rPr>
        <w:t xml:space="preserve">Approximate date of commencement of proposed sale to the public: From time to time after this registration statement becomes effective. </w:t>
      </w:r>
    </w:p>
    <w:p>
      <w:pPr>
        <w:pStyle w:val="TextBody"/>
        <w:bidi w:val="0"/>
        <w:spacing w:before="120" w:after="0"/>
        <w:jc w:val="left"/>
        <w:rPr>
          <w:rFonts w:ascii="Times New Roman" w:hAnsi="Times New Roman"/>
          <w:sz w:val="18"/>
        </w:rPr>
      </w:pPr>
      <w:r>
        <w:rPr>
          <w:rFonts w:ascii="Times New Roman" w:hAnsi="Times New Roman"/>
          <w:sz w:val="18"/>
        </w:rPr>
        <w:t xml:space="preserve">If the only securities being registered on this form are being offered pursuant to dividend or interest reinvestment plans, please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2"/>
        <w:gridCol w:w="104"/>
        <w:gridCol w:w="4799"/>
        <w:gridCol w:w="132"/>
        <w:gridCol w:w="2669"/>
        <w:gridCol w:w="104"/>
        <w:gridCol w:w="265"/>
      </w:tblGrid>
      <w:tr>
        <w:trPr/>
        <w:tc>
          <w:tcPr>
            <w:tcW w:w="2132"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799"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2132"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pPr>
            <w:r>
              <w:rPr/>
              <w:t>☐</w:t>
            </w:r>
          </w:p>
        </w:tc>
        <w:tc>
          <w:tcPr>
            <w:tcW w:w="132" w:type="dxa"/>
            <w:tcBorders/>
            <w:vAlign w:val="bottom"/>
          </w:tcPr>
          <w:p>
            <w:pPr>
              <w:pStyle w:val="TableContents"/>
              <w:bidi w:val="0"/>
              <w:spacing w:before="0" w:after="283"/>
              <w:jc w:val="left"/>
              <w:rPr/>
            </w:pPr>
            <w:r>
              <w:rPr/>
              <w:t>  </w:t>
            </w:r>
          </w:p>
        </w:tc>
        <w:tc>
          <w:tcPr>
            <w:tcW w:w="2669"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r>
      <w:tr>
        <w:trPr>
          <w:trHeight w:val="120" w:hRule="atLeast"/>
        </w:trPr>
        <w:tc>
          <w:tcPr>
            <w:tcW w:w="2132" w:type="dxa"/>
            <w:tcBorders/>
            <w:vAlign w:val="center"/>
          </w:tcPr>
          <w:p>
            <w:pPr>
              <w:pStyle w:val="TableContents"/>
              <w:bidi w:val="0"/>
              <w:spacing w:before="0" w:after="283"/>
              <w:jc w:val="left"/>
              <w:rPr>
                <w:sz w:val="4"/>
                <w:szCs w:val="4"/>
              </w:rPr>
            </w:pPr>
            <w:r>
              <w:rPr>
                <w:sz w:val="4"/>
                <w:szCs w:val="4"/>
              </w:rPr>
            </w:r>
          </w:p>
        </w:tc>
        <w:tc>
          <w:tcPr>
            <w:tcW w:w="4903" w:type="dxa"/>
            <w:gridSpan w:val="2"/>
            <w:tcBorders/>
            <w:vAlign w:val="center"/>
          </w:tcPr>
          <w:p>
            <w:pPr>
              <w:pStyle w:val="TableContents"/>
              <w:bidi w:val="0"/>
              <w:spacing w:before="0" w:after="283"/>
              <w:jc w:val="left"/>
              <w:rPr>
                <w:sz w:val="4"/>
                <w:szCs w:val="4"/>
              </w:rPr>
            </w:pPr>
            <w:r>
              <w:rPr>
                <w:sz w:val="4"/>
                <w:szCs w:val="4"/>
              </w:rPr>
            </w:r>
          </w:p>
        </w:tc>
        <w:tc>
          <w:tcPr>
            <w:tcW w:w="2801" w:type="dxa"/>
            <w:gridSpan w:val="2"/>
            <w:tcBorders/>
            <w:vAlign w:val="center"/>
          </w:tcPr>
          <w:p>
            <w:pPr>
              <w:pStyle w:val="TableContents"/>
              <w:bidi w:val="0"/>
              <w:spacing w:before="0" w:after="283"/>
              <w:jc w:val="left"/>
              <w:rPr>
                <w:sz w:val="4"/>
                <w:szCs w:val="4"/>
              </w:rPr>
            </w:pPr>
            <w:r>
              <w:rPr>
                <w:sz w:val="4"/>
                <w:szCs w:val="4"/>
              </w:rPr>
            </w:r>
          </w:p>
        </w:tc>
        <w:tc>
          <w:tcPr>
            <w:tcW w:w="369" w:type="dxa"/>
            <w:gridSpan w:val="2"/>
            <w:tcBorders/>
            <w:vAlign w:val="center"/>
          </w:tcPr>
          <w:p>
            <w:pPr>
              <w:pStyle w:val="TableContents"/>
              <w:bidi w:val="0"/>
              <w:spacing w:before="0" w:after="283"/>
              <w:jc w:val="left"/>
              <w:rPr>
                <w:sz w:val="4"/>
                <w:szCs w:val="4"/>
              </w:rPr>
            </w:pPr>
            <w:r>
              <w:rPr>
                <w:sz w:val="4"/>
                <w:szCs w:val="4"/>
              </w:rPr>
            </w:r>
          </w:p>
        </w:tc>
      </w:tr>
      <w:tr>
        <w:trPr/>
        <w:tc>
          <w:tcPr>
            <w:tcW w:w="2132"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pPr>
            <w:r>
              <w:rPr/>
              <w:t>☒</w:t>
            </w:r>
          </w:p>
        </w:tc>
        <w:tc>
          <w:tcPr>
            <w:tcW w:w="132" w:type="dxa"/>
            <w:tcBorders/>
            <w:vAlign w:val="bottom"/>
          </w:tcPr>
          <w:p>
            <w:pPr>
              <w:pStyle w:val="TableContents"/>
              <w:bidi w:val="0"/>
              <w:spacing w:before="0" w:after="283"/>
              <w:jc w:val="left"/>
              <w:rPr/>
            </w:pPr>
            <w:r>
              <w:rPr/>
              <w:t>  </w:t>
            </w:r>
          </w:p>
        </w:tc>
        <w:tc>
          <w:tcPr>
            <w:tcW w:w="2669"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r>
      <w:tr>
        <w:trPr>
          <w:trHeight w:val="120" w:hRule="atLeast"/>
        </w:trPr>
        <w:tc>
          <w:tcPr>
            <w:tcW w:w="2132" w:type="dxa"/>
            <w:tcBorders/>
            <w:vAlign w:val="center"/>
          </w:tcPr>
          <w:p>
            <w:pPr>
              <w:pStyle w:val="TableContents"/>
              <w:bidi w:val="0"/>
              <w:spacing w:before="0" w:after="283"/>
              <w:jc w:val="left"/>
              <w:rPr>
                <w:sz w:val="4"/>
                <w:szCs w:val="4"/>
              </w:rPr>
            </w:pPr>
            <w:r>
              <w:rPr>
                <w:sz w:val="4"/>
                <w:szCs w:val="4"/>
              </w:rPr>
            </w:r>
          </w:p>
        </w:tc>
        <w:tc>
          <w:tcPr>
            <w:tcW w:w="4903" w:type="dxa"/>
            <w:gridSpan w:val="2"/>
            <w:tcBorders/>
            <w:vAlign w:val="center"/>
          </w:tcPr>
          <w:p>
            <w:pPr>
              <w:pStyle w:val="TableContents"/>
              <w:bidi w:val="0"/>
              <w:spacing w:before="0" w:after="283"/>
              <w:jc w:val="left"/>
              <w:rPr>
                <w:sz w:val="4"/>
                <w:szCs w:val="4"/>
              </w:rPr>
            </w:pPr>
            <w:r>
              <w:rPr>
                <w:sz w:val="4"/>
                <w:szCs w:val="4"/>
              </w:rPr>
            </w:r>
          </w:p>
        </w:tc>
        <w:tc>
          <w:tcPr>
            <w:tcW w:w="2801" w:type="dxa"/>
            <w:gridSpan w:val="2"/>
            <w:tcBorders/>
            <w:vAlign w:val="center"/>
          </w:tcPr>
          <w:p>
            <w:pPr>
              <w:pStyle w:val="TableContents"/>
              <w:bidi w:val="0"/>
              <w:spacing w:before="0" w:after="283"/>
              <w:jc w:val="left"/>
              <w:rPr>
                <w:sz w:val="4"/>
                <w:szCs w:val="4"/>
              </w:rPr>
            </w:pPr>
            <w:r>
              <w:rPr>
                <w:sz w:val="4"/>
                <w:szCs w:val="4"/>
              </w:rPr>
            </w:r>
          </w:p>
        </w:tc>
        <w:tc>
          <w:tcPr>
            <w:tcW w:w="369" w:type="dxa"/>
            <w:gridSpan w:val="2"/>
            <w:tcBorders/>
            <w:vAlign w:val="center"/>
          </w:tcPr>
          <w:p>
            <w:pPr>
              <w:pStyle w:val="TableContents"/>
              <w:bidi w:val="0"/>
              <w:spacing w:before="0" w:after="283"/>
              <w:jc w:val="left"/>
              <w:rPr>
                <w:sz w:val="4"/>
                <w:szCs w:val="4"/>
              </w:rPr>
            </w:pPr>
            <w:r>
              <w:rPr>
                <w:sz w:val="4"/>
                <w:szCs w:val="4"/>
              </w:rPr>
            </w:r>
          </w:p>
        </w:tc>
      </w:tr>
      <w:tr>
        <w:trPr/>
        <w:tc>
          <w:tcPr>
            <w:tcW w:w="2132"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2669"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b/>
          <w:sz w:val="18"/>
        </w:rPr>
      </w:pPr>
      <w:r>
        <w:rPr>
          <w:rFonts w:ascii="Times New Roman" w:hAnsi="Times New Roman"/>
          <w:b/>
          <w:sz w:val="18"/>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August 6, 2026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876425"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76425" cy="628650"/>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48"/>
        </w:rPr>
      </w:pPr>
      <w:r>
        <w:rPr>
          <w:rFonts w:ascii="Times New Roman" w:hAnsi="Times New Roman"/>
          <w:b/>
          <w:sz w:val="48"/>
        </w:rPr>
        <w:t xml:space="preserve">Lexicon Pharmaceuticals, Inc.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1,257,856 shares of 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securities to be offered and sold using this prospectus include up to 1,257,856 shares of our common stock, par value $0.001 per share (“common stock”), issuable to the selling stockholders named in this prospectus or in any supplement to this prospectus from time to time (the “selling stockholders”) upon exercise of certain warrants to purchase shares of our common stock (“Warrants”). These shares of common stock may be offered and sold by the selling stockholders from time to time in accordance with the provisions set forth under “Plan of Distribution.”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This prospectus describes some of the general terms and conditions that may apply to the securities. We will provide the specific terms and conditions of the securities in one or more supplements to this prospectus. You should read this entire prospectus and the applicable prospectus supplement carefully before you make your investment decision. See “Where You Can Find More Information” and “Documents Incorporated by Reference” in both this prospectus and any prospectus supplement for more information.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selling stockholders may offer and sell the securities offered by this prospectus from time to time in amounts, at prices and on terms to be determined by market conditions and other factors at the time of any such offerings. The selling stockholders may sell the securities at prevailing market prices or at prices negotiated with buyers. The selling stockholders will be responsible for any commissions due to brokers, dealers or agents and offering expenses. We will not receive any of the proceeds from the sale by the selling stockholders of the securities offered by this prospectus.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are registering the securities for sale by the selling stockholder pursuant to the warrant agreements, dated as of May 4, 2026 (the “Warrant Agreements”), with holders of the Warrants.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common stock is traded on The Nasdaq Capital Market (“Nasdaq”) under the symbol “LXRX.” On August 5, 2026, the closing price of our common stock was $2.45.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24"/>
        </w:rPr>
        <w:t>You should read carefully this prospectus, the documents incorporated by reference in this prospectus and any prospectus supplement before you invest. See “</w:t>
      </w:r>
      <w:hyperlink w:anchor="toc140435_6">
        <w:r>
          <w:rPr>
            <w:rStyle w:val="InternetLink"/>
            <w:rFonts w:ascii="Times New Roman" w:hAnsi="Times New Roman"/>
            <w:b/>
            <w:sz w:val="24"/>
          </w:rPr>
          <w:t>Risk Factors</w:t>
        </w:r>
      </w:hyperlink>
      <w:r>
        <w:rPr>
          <w:rFonts w:ascii="Times New Roman" w:hAnsi="Times New Roman"/>
          <w:b/>
          <w:sz w:val="24"/>
        </w:rPr>
        <w:t xml:space="preserve">” beginning on page 3 of this prospectus for information on certain risks related to the purchase of our securities.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selling stockholders may sell the securities directly to or through underwriters or dealers, and also to other purchasers or through agents on a continuous or delayed basis. The names of any underwriters or agents that are included in a sale of securities to you, and any applicable commissions or discounts, will be stated in any accompanying prospectus supplement. In addition, the underwriters, if any, may over-allot a portion of the securities.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of these securities or determined if this prospectus is truthful or complete.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The date of this prospectus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0"/>
        <w:gridCol w:w="96"/>
        <w:gridCol w:w="423"/>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5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0435_1">
              <w:r>
                <w:rPr>
                  <w:rStyle w:val="InternetLink"/>
                  <w:rFonts w:ascii="Times New Roman" w:hAnsi="Times New Roman"/>
                  <w:sz w:val="20"/>
                </w:rPr>
                <w:t>ABOUT THIS PROSPECTUS</w:t>
              </w:r>
            </w:hyperlink>
          </w:p>
        </w:tc>
        <w:tc>
          <w:tcPr>
            <w:tcW w:w="3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0435_2">
              <w:r>
                <w:rPr>
                  <w:rStyle w:val="InternetLink"/>
                  <w:rFonts w:ascii="Times New Roman" w:hAnsi="Times New Roman"/>
                  <w:sz w:val="20"/>
                </w:rPr>
                <w:t>WHERE YOU CAN FIND MORE INFORMATION</w:t>
              </w:r>
            </w:hyperlink>
          </w:p>
        </w:tc>
        <w:tc>
          <w:tcPr>
            <w:tcW w:w="3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iii</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0435_3">
              <w:r>
                <w:rPr>
                  <w:rStyle w:val="InternetLink"/>
                  <w:rFonts w:ascii="Times New Roman" w:hAnsi="Times New Roman"/>
                  <w:sz w:val="20"/>
                </w:rPr>
                <w:t>DOCUMENTS INCORPORATED BY REFERENCE</w:t>
              </w:r>
            </w:hyperlink>
          </w:p>
        </w:tc>
        <w:tc>
          <w:tcPr>
            <w:tcW w:w="3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iii</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0435_4">
              <w:r>
                <w:rPr>
                  <w:rStyle w:val="InternetLink"/>
                  <w:rFonts w:ascii="Times New Roman" w:hAnsi="Times New Roman"/>
                  <w:sz w:val="20"/>
                </w:rPr>
                <w:t>SPECIAL NOTE REGARDING FORWARD-LOOKING STATEMENTS</w:t>
              </w:r>
            </w:hyperlink>
          </w:p>
        </w:tc>
        <w:tc>
          <w:tcPr>
            <w:tcW w:w="3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v</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0435_5">
              <w:r>
                <w:rPr>
                  <w:rStyle w:val="InternetLink"/>
                  <w:rFonts w:ascii="Times New Roman" w:hAnsi="Times New Roman"/>
                  <w:sz w:val="20"/>
                </w:rPr>
                <w:t>LEXICON PHARMACEUTICALS, INC.</w:t>
              </w:r>
            </w:hyperlink>
          </w:p>
        </w:tc>
        <w:tc>
          <w:tcPr>
            <w:tcW w:w="3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0435_6">
              <w:r>
                <w:rPr>
                  <w:rStyle w:val="InternetLink"/>
                  <w:rFonts w:ascii="Times New Roman" w:hAnsi="Times New Roman"/>
                  <w:sz w:val="20"/>
                </w:rPr>
                <w:t>RISK FACTORS</w:t>
              </w:r>
            </w:hyperlink>
          </w:p>
        </w:tc>
        <w:tc>
          <w:tcPr>
            <w:tcW w:w="3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0435_7">
              <w:r>
                <w:rPr>
                  <w:rStyle w:val="InternetLink"/>
                  <w:rFonts w:ascii="Times New Roman" w:hAnsi="Times New Roman"/>
                  <w:sz w:val="20"/>
                </w:rPr>
                <w:t>USE OF PROCEEDS</w:t>
              </w:r>
            </w:hyperlink>
          </w:p>
        </w:tc>
        <w:tc>
          <w:tcPr>
            <w:tcW w:w="3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0435_8">
              <w:r>
                <w:rPr>
                  <w:rStyle w:val="InternetLink"/>
                  <w:rFonts w:ascii="Times New Roman" w:hAnsi="Times New Roman"/>
                  <w:sz w:val="20"/>
                </w:rPr>
                <w:t>DESCRIPTION OF CAPITAL STOCK</w:t>
              </w:r>
            </w:hyperlink>
          </w:p>
        </w:tc>
        <w:tc>
          <w:tcPr>
            <w:tcW w:w="3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0435_9">
              <w:r>
                <w:rPr>
                  <w:rStyle w:val="InternetLink"/>
                  <w:rFonts w:ascii="Times New Roman" w:hAnsi="Times New Roman"/>
                  <w:sz w:val="20"/>
                </w:rPr>
                <w:t>SELLING STOCKHOLDERS</w:t>
              </w:r>
            </w:hyperlink>
          </w:p>
        </w:tc>
        <w:tc>
          <w:tcPr>
            <w:tcW w:w="3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0435_10">
              <w:r>
                <w:rPr>
                  <w:rStyle w:val="InternetLink"/>
                  <w:rFonts w:ascii="Times New Roman" w:hAnsi="Times New Roman"/>
                  <w:sz w:val="20"/>
                </w:rPr>
                <w:t>PLAN OF DISTRIBUTION</w:t>
              </w:r>
            </w:hyperlink>
          </w:p>
        </w:tc>
        <w:tc>
          <w:tcPr>
            <w:tcW w:w="3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0435_11">
              <w:r>
                <w:rPr>
                  <w:rStyle w:val="InternetLink"/>
                  <w:rFonts w:ascii="Times New Roman" w:hAnsi="Times New Roman"/>
                  <w:sz w:val="20"/>
                </w:rPr>
                <w:t>LEGAL MATTERS</w:t>
              </w:r>
            </w:hyperlink>
          </w:p>
        </w:tc>
        <w:tc>
          <w:tcPr>
            <w:tcW w:w="3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0435_12">
              <w:r>
                <w:rPr>
                  <w:rStyle w:val="InternetLink"/>
                  <w:rFonts w:ascii="Times New Roman" w:hAnsi="Times New Roman"/>
                  <w:sz w:val="20"/>
                </w:rPr>
                <w:t>EXPERTS</w:t>
              </w:r>
            </w:hyperlink>
          </w:p>
        </w:tc>
        <w:tc>
          <w:tcPr>
            <w:tcW w:w="3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140435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“shelf” registration statement that we filed with the Securities and Exchange Commission, or the SEC. Under this shelf registration process, the selling stockholders identified in this prospectus may use this prospectus to sell up to an aggregate 1,257,856 shares of our common stock. Each time that the selling stockholders offer and sell shares of our common stock, a prospectus supplement containing specific information about the terms of that offering will be provided, including the specific amounts, prices and terms of the common stock offered and the manner in which they will be offered. The prospectus supplement and any other offering material may also add to, update or change information contained in this prospectus or in documents we have incorporated by reference into this prospectus. We urge you to read both this prospectus and any prospectus supplement and any other offering material (including any free writing prospectus) prepared by or on behalf of us for a specific offering of the shares covered hereby, together with the additional information described under the heading “Where You Can Find More Information” on page iii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“Lexicon,” “Lexicon Pharmaceuticals,” “we,” “us” and “our” refer to Lexicon Pharmaceuticals, Inc. and its subsidiaries. We own or have rights to trademarks or trade names that we use in connection with the operation of our business. The Lexicon name and logo, INPEFA® and ZYNQUISTA® are registered trademarks of Lexicon Pharmaceuticals, Inc.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in this prospectus, any prospectus supplement or any free writing prospectus prepared by or on behalf of us and any documents incorporated into this prospectus by reference. We and the selling stockholders have not authorized anyone to provide you with information different from that contained in this prospectus or the documents incorporated by reference herein. We and the selling stockholders take no responsibility for, and can provide no assurance as to the reliability of, any other information that others may give you. The selling stockholders are not making an offer to sell or soliciting an offer to purchase the shares covered hereby in any jurisdiction where the offer or sale is not permitted. This prospectus may only be used where it is legal to sell the shares covered hereby. The information contained in this prospectus, the documents incorporated by reference herein and any supplements to this prospectus are accurate only as of the dates of their respective covers or earlier dates as specified therein, regardless of the time of delivery of this prospectus or any supplement to this prospectus or of any sale of the shares covered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140435_2"/>
      <w:bookmarkEnd w:id="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You may read and copy the reports, proxy statements and other information that we file with the SEC at 100 F Street, NE, Washington, D.C. 20549. Please call the SEC at 1-800-SEC-0330 for information and for its prescribed rates to obtain copies of such material. The SEC also maintains a website that contains reports, proxy and information statements and other information regarding registrants, like us, that file electronically with the SEC. The address of the SEC’s Internet site is </w:t>
      </w:r>
      <w:r>
        <w:rPr>
          <w:rFonts w:ascii="Times New Roman" w:hAnsi="Times New Roman"/>
          <w:i/>
          <w:sz w:val="20"/>
          <w:u w:val="single"/>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Our annual reports on Form 10-K, quarterly reports on Form 10-Q, current reports on Form 8-K and other filings with the SEC are available, free of charge, through our website, as soon as reasonably practicable after those reports or filings are electronically filed with or furnished to the SEC. Information on our website or any other website is not incorporated by reference into this prospectus or any prospectus supplement and does not constitute a part of this prospectus or any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relating to the securities we may offer. As permitted by SEC rules, this prospectus does not contain all of the information we have included in the registration statement and the accompanying exhibits and schedules we filed with the SEC. You should refer to the registration statement, exhibits and schedules for more information about us and the securities. The registration statements, exhibits and schedules are available at the SEC or through its website. </w:t>
      </w:r>
    </w:p>
    <w:p>
      <w:pPr>
        <w:pStyle w:val="TextBody"/>
        <w:bidi w:val="0"/>
        <w:spacing w:before="480" w:after="0"/>
        <w:jc w:val="center"/>
        <w:rPr>
          <w:rFonts w:ascii="Times New Roman" w:hAnsi="Times New Roman"/>
          <w:b/>
          <w:sz w:val="20"/>
        </w:rPr>
      </w:pPr>
      <w:bookmarkStart w:id="5" w:name="toc140435_3"/>
      <w:bookmarkEnd w:id="5"/>
      <w:r>
        <w:rPr>
          <w:rFonts w:ascii="Times New Roman" w:hAnsi="Times New Roman"/>
          <w:b/>
          <w:sz w:val="20"/>
        </w:rPr>
        <w:t xml:space="preserve">DOCUMENTS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we have filed with it, which means that we can disclose important information to you by referring you to those documents. The information we incorporate by reference is an important part of this prospectus, and later information that we file with the SEC will automatically update and supersede this information. We incorporate by reference the documents listed below that we have previously filed with the SEC and any future documents filed with the SEC under Sections 13(a), 13(c), 14 or 15(d) of the Exchange Act (i) after the date on which the registration statement, of which this prospectus forms a part, was initially filed with the SEC and prior to the effectiveness of the registration statement and (ii) subsequent to the date of this prospectus and prior to the termination of the offering of the securities covered by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including those portions of our definitive proxy statement on </w:t>
            </w:r>
            <w:hyperlink r:id="rId4">
              <w:r>
                <w:rPr>
                  <w:rStyle w:val="InternetLink"/>
                  <w:rFonts w:ascii="Times New Roman" w:hAnsi="Times New Roman"/>
                  <w:sz w:val="20"/>
                </w:rPr>
                <w:t>Schedule 14A</w:t>
              </w:r>
            </w:hyperlink>
            <w:r>
              <w:rPr>
                <w:rFonts w:ascii="Times New Roman" w:hAnsi="Times New Roman"/>
                <w:sz w:val="20"/>
              </w:rPr>
              <w:t xml:space="preserve">, filed on March 16, 2026, incorporated by reference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periods ended </w:t>
            </w:r>
            <w:hyperlink r:id="rId5">
              <w:r>
                <w:rPr>
                  <w:rStyle w:val="InternetLink"/>
                  <w:rFonts w:ascii="Times New Roman" w:hAnsi="Times New Roman"/>
                  <w:sz w:val="20"/>
                </w:rPr>
                <w:t>March 31</w:t>
              </w:r>
            </w:hyperlink>
            <w:r>
              <w:rPr>
                <w:rFonts w:ascii="Times New Roman" w:hAnsi="Times New Roman"/>
                <w:sz w:val="20"/>
              </w:rPr>
              <w:t xml:space="preserve"> and </w:t>
            </w:r>
            <w:hyperlink r:id="rId6">
              <w:r>
                <w:rPr>
                  <w:rStyle w:val="InternetLink"/>
                  <w:rFonts w:ascii="Times New Roman" w:hAnsi="Times New Roman"/>
                  <w:sz w:val="20"/>
                </w:rPr>
                <w:t>June 30</w:t>
              </w:r>
            </w:hyperlink>
            <w:r>
              <w:rPr>
                <w:rFonts w:ascii="Times New Roman" w:hAnsi="Times New Roman"/>
                <w:sz w:val="20"/>
              </w:rPr>
              <w:t xml:space="preserve">,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7">
              <w:r>
                <w:rPr>
                  <w:rStyle w:val="InternetLink"/>
                  <w:rFonts w:ascii="Times New Roman" w:hAnsi="Times New Roman"/>
                  <w:sz w:val="20"/>
                </w:rPr>
                <w:t>January 29</w:t>
              </w:r>
            </w:hyperlink>
            <w:r>
              <w:rPr>
                <w:rFonts w:ascii="Times New Roman" w:hAnsi="Times New Roman"/>
                <w:sz w:val="20"/>
              </w:rPr>
              <w:t xml:space="preserve">, </w:t>
            </w:r>
            <w:hyperlink r:id="rId8">
              <w:r>
                <w:rPr>
                  <w:rStyle w:val="InternetLink"/>
                  <w:rFonts w:ascii="Times New Roman" w:hAnsi="Times New Roman"/>
                  <w:sz w:val="20"/>
                </w:rPr>
                <w:t>February  2</w:t>
              </w:r>
            </w:hyperlink>
            <w:r>
              <w:rPr>
                <w:rFonts w:ascii="Times New Roman" w:hAnsi="Times New Roman"/>
                <w:sz w:val="20"/>
              </w:rPr>
              <w:t xml:space="preserve">, </w:t>
            </w:r>
            <w:hyperlink r:id="rId9">
              <w:r>
                <w:rPr>
                  <w:rStyle w:val="InternetLink"/>
                  <w:rFonts w:ascii="Times New Roman" w:hAnsi="Times New Roman"/>
                  <w:sz w:val="20"/>
                </w:rPr>
                <w:t>April  30</w:t>
              </w:r>
            </w:hyperlink>
            <w:r>
              <w:rPr>
                <w:rFonts w:ascii="Times New Roman" w:hAnsi="Times New Roman"/>
                <w:sz w:val="20"/>
              </w:rPr>
              <w:t xml:space="preserve">, </w:t>
            </w:r>
            <w:hyperlink r:id="rId10">
              <w:r>
                <w:rPr>
                  <w:rStyle w:val="InternetLink"/>
                  <w:rFonts w:ascii="Times New Roman" w:hAnsi="Times New Roman"/>
                  <w:sz w:val="20"/>
                </w:rPr>
                <w:t>May  6</w:t>
              </w:r>
            </w:hyperlink>
            <w:r>
              <w:rPr>
                <w:rFonts w:ascii="Times New Roman" w:hAnsi="Times New Roman"/>
                <w:sz w:val="20"/>
              </w:rPr>
              <w:t xml:space="preserve"> and </w:t>
            </w:r>
            <w:hyperlink r:id="rId11">
              <w:r>
                <w:rPr>
                  <w:rStyle w:val="InternetLink"/>
                  <w:rFonts w:ascii="Times New Roman" w:hAnsi="Times New Roman"/>
                  <w:sz w:val="20"/>
                </w:rPr>
                <w:t>August 6</w:t>
              </w:r>
            </w:hyperlink>
            <w:r>
              <w:rPr>
                <w:rFonts w:ascii="Times New Roman" w:hAnsi="Times New Roman"/>
                <w:sz w:val="20"/>
              </w:rPr>
              <w:t xml:space="preserve">,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2">
              <w:r>
                <w:rPr>
                  <w:rStyle w:val="InternetLink"/>
                  <w:rFonts w:ascii="Times New Roman" w:hAnsi="Times New Roman"/>
                  <w:sz w:val="20"/>
                </w:rPr>
                <w:t>Form 8-A</w:t>
              </w:r>
            </w:hyperlink>
            <w:r>
              <w:rPr>
                <w:rFonts w:ascii="Times New Roman" w:hAnsi="Times New Roman"/>
                <w:sz w:val="20"/>
              </w:rPr>
              <w:t xml:space="preserve"> filed with the SEC on March 27, 2000 pursuant to Section 12 of the Exchange Act, including any amendments and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or deemed to be incorporated by reference in this prospectus will be deemed to be modified or superseded for purposes of this prospectus to the extent that a statement contained in this prospectus or in any other subsequently filed document which also is or is deemed to be incorporated by reference in this prospectus modifies or supersedes that statement. Any statement that is modified or superseded will not constitute a part of this prospectus, except as so modified or superseded. You may rely on any statement contained in this prospectus or in documents incorporated or deemed to be incorporated in this prospectus, unless that statement has been subsequently modified or superseded as described above prior to the time you make your investment decision.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Upon your written or oral request, we will provide you at no cost a copy of any or all of the documents incorporated by reference in this prospectus, other than the exhibits to those documents, unless the exhibits are specifically incorporated by reference into this prospectus. You may request a copy of these documents by contacting: </w:t>
      </w:r>
    </w:p>
    <w:p>
      <w:pPr>
        <w:pStyle w:val="TextBody"/>
        <w:bidi w:val="0"/>
        <w:spacing w:before="240" w:after="0"/>
        <w:jc w:val="center"/>
        <w:rPr>
          <w:rFonts w:ascii="Times New Roman" w:hAnsi="Times New Roman"/>
          <w:b/>
          <w:sz w:val="20"/>
        </w:rPr>
      </w:pPr>
      <w:r>
        <w:rPr>
          <w:rFonts w:ascii="Times New Roman" w:hAnsi="Times New Roman"/>
          <w:b/>
          <w:sz w:val="20"/>
        </w:rPr>
        <w:t xml:space="preserve">Investor Relations </w:t>
      </w:r>
    </w:p>
    <w:p>
      <w:pPr>
        <w:pStyle w:val="TextBody"/>
        <w:bidi w:val="0"/>
        <w:spacing w:before="0" w:after="0"/>
        <w:jc w:val="center"/>
        <w:rPr>
          <w:rFonts w:ascii="Times New Roman" w:hAnsi="Times New Roman"/>
          <w:b/>
          <w:sz w:val="20"/>
        </w:rPr>
      </w:pPr>
      <w:r>
        <w:rPr>
          <w:rFonts w:ascii="Times New Roman" w:hAnsi="Times New Roman"/>
          <w:b/>
          <w:sz w:val="20"/>
        </w:rPr>
        <w:t xml:space="preserve">Lexicon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8800 Technology Forest Place </w:t>
      </w:r>
    </w:p>
    <w:p>
      <w:pPr>
        <w:pStyle w:val="TextBody"/>
        <w:bidi w:val="0"/>
        <w:spacing w:before="0" w:after="0"/>
        <w:jc w:val="center"/>
        <w:rPr>
          <w:rFonts w:ascii="Times New Roman" w:hAnsi="Times New Roman"/>
          <w:b/>
          <w:sz w:val="20"/>
        </w:rPr>
      </w:pPr>
      <w:r>
        <w:rPr>
          <w:rFonts w:ascii="Times New Roman" w:hAnsi="Times New Roman"/>
          <w:b/>
          <w:sz w:val="20"/>
        </w:rPr>
        <w:t xml:space="preserve">The Woodlands, Texas 77381-1160 </w:t>
      </w:r>
    </w:p>
    <w:p>
      <w:pPr>
        <w:pStyle w:val="TextBody"/>
        <w:bidi w:val="0"/>
        <w:spacing w:before="0" w:after="0"/>
        <w:jc w:val="center"/>
        <w:rPr>
          <w:rFonts w:ascii="Times New Roman" w:hAnsi="Times New Roman"/>
          <w:b/>
          <w:sz w:val="20"/>
        </w:rPr>
      </w:pPr>
      <w:r>
        <w:rPr>
          <w:rFonts w:ascii="Times New Roman" w:hAnsi="Times New Roman"/>
          <w:b/>
          <w:sz w:val="20"/>
        </w:rPr>
        <w:t xml:space="preserve">(281) 863-3000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140435_4"/>
      <w:bookmarkEnd w:id="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into this prospectus contain certain information regarding our financial projections, plans and strategies that are forward-looking statements within the meaning of Section 27A of the Securities Act of 1933 and 21E of the Securities Exchange Act of 1934. We have attempted to identify forward-looking statements by terminology including “anticipate,” “believe,” “can,” “continue,” “could,” “estimate,” “expect,” “intend,” “may,” “plan,” “potential,” “predict,” “should” or “will” or the negative of these terms or other comparable terminology. These statements, which are only predictions and involve known and unknown risks, uncertainties and other important factors may include, among other things, statements which address our strategy and operating performance, events or developments that we expect or anticipate will occur in the future, such as projections of our future results of operations or of our financial condition, the regulatory status and therapeutic and commercial potential of our drug programs, the status of any collaborative agreements or clinical trials, the expected timing of the completion of our ongoing and future clinical trials and the results of such trials, including top-line data, expected timing of initiation of our planned clinical trials, expected enrollment in our ongoing and future clinical trials, and our research and development efforts and anticipated trends in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have based these forward-looking statements on our current expectations and projections about future events. However, there may be events in the future that we are not able to predict accurately or which we do not fully control that could cause actual results to differ materially from those expressed or implied in our forward-looking statements. Many important factors could cause actual results to differ materially from those expressed or implied by these forward-looking statements, including those discussed under “Risk Factors” in this prospectus and any prospectus supplement and other sections of the documents incorporated by reference into this prospectus. Except as required by applicable law, we undertake no obligation to publicly release any revisions to the forward-looking statements or reflect events or circumstances after the date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140435_5"/>
      <w:bookmarkEnd w:id="7"/>
      <w:r>
        <w:rPr>
          <w:rFonts w:ascii="Times New Roman" w:hAnsi="Times New Roman"/>
          <w:b/>
          <w:sz w:val="20"/>
        </w:rPr>
        <w:t xml:space="preserve">LEXICON PHARMACEUTICALS, INC. </w:t>
      </w:r>
    </w:p>
    <w:p>
      <w:pPr>
        <w:pStyle w:val="TextBody"/>
        <w:bidi w:val="0"/>
        <w:spacing w:before="240" w:after="0"/>
        <w:jc w:val="left"/>
        <w:rPr>
          <w:rFonts w:ascii="Times New Roman" w:hAnsi="Times New Roman"/>
          <w:sz w:val="20"/>
        </w:rPr>
      </w:pPr>
      <w:r>
        <w:rPr>
          <w:rFonts w:ascii="Times New Roman" w:hAnsi="Times New Roman"/>
          <w:sz w:val="20"/>
        </w:rPr>
        <w:t xml:space="preserve">We are a biopharmaceutical company with a mission of pioneering medicines that transform patients’ lives. We are devoting most of our resources to the research and development of our most advanced drug candidates and the commercialization of our approved drug, INPEFA® (sotagliflozin):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developing sotagliflozin, an orally-delivered small molecule drug candidate, as a treatment for hypertrophic cardiomyopathy, or HCM, and have completed patient enrollment in our SONATA-HCM pivotal Phase 3 clinical trial of sotagliflozin in that indication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separately pursuing regulatory approval of ZYNQUISTA® (sotagliflozin) as a treatment for type 1 diabetes. The U.S. Food and Drug Administration, or FDA, issued complete response letters regarding our New Drug Application, or NDA, for ZYNQUISTA in type 1 diabetes in March 2019 and December 2024. At our request, the FDA has issued a public Notice of Opportunity for Hearing, or NOOH, on whether there are grounds for denying approval of our NDA and those proceedings are ongoing.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FDA has separately provided feedback that a third-party-funded, investigator-initiated study of sotagliflozin appears to be of adequate design and employs sufficient data collection methods to provide viable evidence of the incidence of diabetic ketoacidosis, or DKA, with adequate safety data, prior to its completion, to support review of a resubmission of the NDA. We are preparing to potentially resubmit the NDA for ZYNQUISTA in type 1 diabetes if supported by patient exposure and safety data from such study.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developing pilavapadin, an orally-delivered small molecule drug candidate, as a treatment for neuropathic pain. We have completed two Phase 2 clinical trials evaluating the safety and tolerability of pilavapadin and its effects on diabetic peripheral neuropathic pain, or DPNP. We have reported results from our PROGRESS Phase 2b clinical trial of pilavapadin in DPNP, which demonstrated clear evidence of effect at the 10 mg dose, and positive results from our RELIEF-DPN-1 Phase 2a clinical trial of pilavapadin in DPNP. We have received Fast Track designation from the FDA for development of pilavapadin in that indication and are currently advancing third party collaboration discussions for its further development and commercialization.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developed LX9851, an orally-delivered small molecule drug candidate, as a treatment for obesity and associated cardiometabolic disorders. We have granted Novo Nordisk an exclusive, worldwide, royalty-bearing license to develop, manufacture and commercialize LX9851 and Novo Nordisk is currently conducting Phase 1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continue to make INPEFA (sotagliflozin) commercially available in the United States. INPEFA is approved to reduce the risk of cardiovascular death, hospitalization for heart failure, and urgent heart failure visits in adults with heart failure or type 2 diabetes mellitus, chronic kidney disease, or CKD, and other cardiovascular risk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conducting preclinical research and development of compounds from a number of additional drug programs originating from our internal drug discovery efforts.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Sotagliflozin, LX9851 and compounds from a number of additional drug programs originated from our own internal drug discovery efforts and pilavapadin originated from our collaborative neuroscience drug discovery efforts with Bristol-Myers Squibb. Our efforts were driven by a systematic, target biology-driven approach in which we used gene knockout technologies and an integrated platform of advanced medical technologies to systematically study the physiological and behavioral functions of almost 5,000 genes in mice and assessed the utility of the proteins encoded by the corresponding human genes as potential drug targets. We have identified and validated in living animals, or in vivo, more than 100 targets with promising profiles for drug discovery. </w:t>
      </w:r>
    </w:p>
    <w:p>
      <w:pPr>
        <w:pStyle w:val="TextBody"/>
        <w:bidi w:val="0"/>
        <w:spacing w:before="240" w:after="0"/>
        <w:jc w:val="left"/>
        <w:rPr>
          <w:rFonts w:ascii="Times New Roman" w:hAnsi="Times New Roman"/>
          <w:sz w:val="20"/>
        </w:rPr>
      </w:pPr>
      <w:r>
        <w:rPr>
          <w:rFonts w:ascii="Times New Roman" w:hAnsi="Times New Roman"/>
          <w:sz w:val="20"/>
        </w:rPr>
        <w:t xml:space="preserve">We have worked both independently and through collaborations and strategic alliances with third parties to capitalize on our drug target discoveries and research and development programs. We seek to retain exclusive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co-exclusive rights to the benefits of certain research and development programs by developing and commercializing drug candidates from those programs internally, particularly in the United States for indications treated by specialist physicians. We seek to collaborate with other pharmaceutical and biotechnology companies with respect to the research, development and commercialization of certain of our drug candidates, particularly with respect to commercialization in territories outside the United States or commercialization in the United States for indications treated by primary care physicians, or when the collaboration may otherwise provide us with access to expertise and resources that we do not possess internally or are complementary to our own.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2445 Technology Forest Blvd., 11th Floor, The Woodlands, Texas 77381. Our telephone number is (281) 863-3000. Our website is located at </w:t>
      </w:r>
      <w:r>
        <w:rPr>
          <w:rFonts w:ascii="Times New Roman" w:hAnsi="Times New Roman"/>
          <w:i/>
          <w:sz w:val="20"/>
        </w:rPr>
        <w:t>www.lexpharma.com</w:t>
      </w:r>
      <w:r>
        <w:rPr>
          <w:rFonts w:ascii="Times New Roman" w:hAnsi="Times New Roman"/>
          <w:sz w:val="20"/>
        </w:rPr>
        <w:t xml:space="preserve">. Unless indicated otherwise, no information is incorporated herein by reference from our website or any other website and no website constitutes a part of this prospectus supplement. Our common stock is listed on Nasdaq under the symbol “LXRX.”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140435_6"/>
      <w:bookmarkEnd w:id="8"/>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our securities involves a significant degree of risk. Before you invest in our securities, you should carefully consider those risk factors described under, but not limited to, the heading “Risk Factors” in our most recent annual report on Form 10-K, any subsequently filed quarterly reports on Form 10-Q and any subsequently filed current reports on Form 8-K (excluding any information furnished pursuant to Item 2.02 or Item 7.01 on any current report on Form 8-K), which are incorporated herein by reference, and those risk factors that may be included in any applicable prospectus supplement, together with all of the other information included in this prospectus, any prospectus supplement and the documents we incorporate by reference, in evaluating an investment in our securities. If any of these risks were actually to occur, our business, financial condition or results of operations could be materially adversely affected. Additional risks not presently known to us or that we currently believe are immaterial may also significantly impair our business operations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about our SEC filings, please see “Where You Can Find More Information” and “Documents Incorporated By Reference” on page iii of this prospectus. See also “Special Note Regarding Forward-Looking Statements” on page v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140435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All of the shares offered by this prospectus are being offered and sold by the selling stockholders. We will not receive any proceeds from the sale of the shares of common stock offered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We will pay all expenses for the registration of the selling stockholders’ offer and sale of the shares of common stock covered by this prospectus, including registration fees, the costs and expenses of our counsel and independent public accountants. The selling stockholders will pay any underwriting discounts and commissions which they incur in selling shares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140435_8"/>
      <w:bookmarkEnd w:id="10"/>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Our authorized capital stock consists of 900,000,000 shares of common stock, $0.001 par value, and 5,000,000 shares of preferred stock, $0.01 par value. As of August 4, 2026, there were 444,955,934 shares of our common stock issued and outstanding, 1,933,747 shares of our common stock issued and held in treasury and no shares of preferred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description of our capital stock is based on the provisions of our seventh amended and restated certificate of incorporation, our second amended and restated bylaws and the applicable provisions of the Delaware General Corporation Law. This information may not be complete in all respects and is qualified entirely by reference to the provisions of our seventh amended and restated certificate of incorporation, second amended and restated bylaws and the Delaware General Corporation Law. For information on how to obtain copies of our seventh amended and restated certificate of incorporation and second amended and restated bylaws, see “Where You Can Find More Information” on page 20 of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common stock are entitled to one vote for each share held of record on all matters submitted to a vote of the stockholders and do not have cumulative voting rights. Accordingly, holders of a majority of the shares of common stock entitled to vote in any election of directors may elect all of the directors standing for election. Subject to preferences that may be applicable to any outstanding shares of preferred stock, the holders of common stock are entitled to receive ratably such dividends as may be declared by the board of directors out of funds legally available therefor. Upon the liquidation, dissolution or winding up of Lexicon, holders of our common stock are entitled to share ratably in all assets remaining after payment of liabilities and the liquidation preferences of any outstanding shares of preferred stock. Holders of 20% or more of our issued and outstanding common stock have (a) customary preemptive rights related to the issuance of certain of our securities and (b) consent rights prior us taking any of the following actions: (i) creating or issuing any new class or series of shares of capital stock (or securities convertible into or exercisable for shares of capital stock) having rights, preferences or privileges senior to or on parity with the common stock, (ii) subject to certain exceptions, repurchasing, retiring, redeeming or otherwise acquiring any of our equity securities (or securities convertible into or exchangeable for equity securities) or any subsidiary and (iii) adopting, or proposing to adopt, or maintaining any shareholders’ rights plan, “poison pill” or other similar plan or agreement, unless such stockholder is exempt from such plan or agreement. There are no redemption or sinking fund provisions applicable to our common stock. All outstanding shares of our common stock are, and all shares of common stock that may be issued under this prospectus will be, fully paid and non-assessable.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Pursuant to our seventh amended and restated certificate of incorporation, our board of directors has the authority, without further action by the stockholders, to issue up to five million shares of preferred stock, in one or more series. Our board of directors is authorized to fix or alter from time to time the designation, powers, preferences and rights of the shares of each series of preferred stock, including dividend rights, conversion rights, voting rights, terms of redemption, liquidation preferences and sinking fund terms. Our board of directors may also establish from time to time the number of shares constituting any series of preferred stock, and to increase or decrease the number of shares of any series subsequent to the issuance of shares of that series, but not below the number of shares of any series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We will fix the rights, preferences, privileges and restrictions of the preferred stock of each series in the certificate of designation relating to that series. We will incorporate by reference as an exhibit to the registration statement that includes this prospectus or as an exhibit to a report filed under the Exchange Act, the form of any certificate of designation that describes the terms of the series of preferred stock we are offering before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issuance of the related series of preferred stock. This description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we are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liquidation preference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 period and payment date and method of calculation for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will be cumulative or non-cumulative and, if cumulative, the date from which dividends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redemption or repurchase, if applicable, and any restrictions on our ability to exercise those redemption and repurchase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convertible into our common stock, and, if applicable, the conversion price, or how it will be calculated, and the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exchangeable into debt securities, and, if applicable, the exchange price, or how it will be calculated, and the exchange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preemption rights,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if we liquidate, dissolve or wind up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 of any class or series of preferred stock ranking senior to or on a parity with the series of preferred stock as to dividend rights and rights if we liquidate, dissolve or wind up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issue shares of preferred stock under this prospectus, the shares will be fully paid and non-assessable and will not have, or be subject to, any preemptive or similar rights. </w:t>
      </w:r>
    </w:p>
    <w:p>
      <w:pPr>
        <w:pStyle w:val="TextBody"/>
        <w:bidi w:val="0"/>
        <w:spacing w:before="240" w:after="0"/>
        <w:jc w:val="left"/>
        <w:rPr>
          <w:rFonts w:ascii="Times New Roman" w:hAnsi="Times New Roman"/>
          <w:sz w:val="20"/>
        </w:rPr>
      </w:pPr>
      <w:r>
        <w:rPr>
          <w:rFonts w:ascii="Times New Roman" w:hAnsi="Times New Roman"/>
          <w:sz w:val="20"/>
        </w:rPr>
        <w:t xml:space="preserve">The Delaware General Corporation Law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preferred stock could adversely affect the voting power, conversion or other rights of holders of common stock. Preferred stock could be issued quickly with terms designed to delay or prevent a change in control of our company or make removal of management more difficult. Additionally, the issuance of preferred stock may have the effect of decreasing the market price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Arrangements with Invus </w:t>
      </w:r>
    </w:p>
    <w:p>
      <w:pPr>
        <w:pStyle w:val="TextBody"/>
        <w:bidi w:val="0"/>
        <w:spacing w:before="120" w:after="0"/>
        <w:jc w:val="left"/>
        <w:rPr>
          <w:rFonts w:ascii="Times New Roman" w:hAnsi="Times New Roman"/>
          <w:sz w:val="20"/>
        </w:rPr>
      </w:pPr>
      <w:r>
        <w:rPr>
          <w:rFonts w:ascii="Times New Roman" w:hAnsi="Times New Roman"/>
          <w:sz w:val="20"/>
        </w:rPr>
        <w:t xml:space="preserve">In June 2007, we entered into a securities purchase agreement with Invus, L.P., under which Invus, L.P. made an initial investment in our common stock in August 2007. Invus, L.P. and its affiliates, which we collectively refer to as Invus, have subsequently made additional investments in our common stock and currently own approximately 50.5% of our outstanding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Board of Directors</w:t>
      </w:r>
      <w:r>
        <w:rPr>
          <w:rFonts w:ascii="Times New Roman" w:hAnsi="Times New Roman"/>
          <w:sz w:val="20"/>
        </w:rPr>
        <w:t xml:space="preserve">. Concurrently with the execution of the securities purchase agreement, we entered into a stockholders’ agreement with Invus, L.P. under which Invus has the right to designate a number of directors equal to the percentage of all the outstanding shares of our common stock owned by Invus, rounded up to the nearest whole number of directors. Invus has designated three of the eight current members of our board of directors. While Invus has not presently exercised its director designation rights in full, it may exercise them at any time in the future in its sole discretion. To facilitate the exercise of such rights, we have agreed, upon written request from Invus, to take all necessary actions in accordance with our obligations under the stockholders’ agreement to (a) increase the number of directors to the number specified by Invus (which number shall be no greater than reasonably necessary for the exercise of Invus’ director designation rights under the stockholders’ agreement) and (b) cause the appointment to the newly created directorships of directors so designated by Invus pursuant to its rights under the stockholders’ agreement. </w:t>
      </w:r>
    </w:p>
    <w:p>
      <w:pPr>
        <w:pStyle w:val="TextBody"/>
        <w:bidi w:val="0"/>
        <w:spacing w:before="240" w:after="0"/>
        <w:jc w:val="left"/>
        <w:rPr>
          <w:rFonts w:ascii="Times New Roman" w:hAnsi="Times New Roman"/>
          <w:sz w:val="20"/>
        </w:rPr>
      </w:pPr>
      <w:r>
        <w:rPr>
          <w:rFonts w:ascii="Times New Roman" w:hAnsi="Times New Roman"/>
          <w:sz w:val="20"/>
        </w:rPr>
        <w:t xml:space="preserve">Invus also has the right to require proportionate representation of Invus-appointed directors on the audit, compensation and corporate governance committees of our board of directors, subject to certain restrictions. Invus-designated directors currently serve as one of the three members of each of the compensation committee and the corporate governance committee of our board of directors. No Invus-designated directors currently serve on the audit committee of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the stockholders’ agreement relating to Invus’ rights to designate members of our board of directors and its audit, compensation and corporate governance committees will terminate if the percentage of all the outstanding shares of our common stock owned by Invus and its affiliates falls below 10%. Invus also has the right to terminate these provisions at any time in its discretion. </w:t>
      </w:r>
    </w:p>
    <w:p>
      <w:pPr>
        <w:pStyle w:val="TextBody"/>
        <w:bidi w:val="0"/>
        <w:spacing w:before="240" w:after="0"/>
        <w:jc w:val="left"/>
        <w:rPr>
          <w:rFonts w:ascii="Times New Roman" w:hAnsi="Times New Roman"/>
          <w:sz w:val="20"/>
        </w:rPr>
      </w:pPr>
      <w:r>
        <w:rPr>
          <w:rFonts w:ascii="Times New Roman" w:hAnsi="Times New Roman"/>
          <w:i/>
          <w:sz w:val="20"/>
        </w:rPr>
        <w:t>Registration Rights</w:t>
      </w:r>
      <w:r>
        <w:rPr>
          <w:rFonts w:ascii="Times New Roman" w:hAnsi="Times New Roman"/>
          <w:sz w:val="20"/>
        </w:rPr>
        <w:t xml:space="preserve">. Concurrently with the execution of the securities purchase agreement, we also entered into a registration rights agreement with Invus, L.P., pursuant to which Invus has certain demand and piggyback registration rights with respect to shares of our common stock held by them. Invus has waived these registration rights with respect to any offerings of our securities pursuant to this prospectus. </w:t>
      </w:r>
    </w:p>
    <w:p>
      <w:pPr>
        <w:pStyle w:val="TextBody"/>
        <w:bidi w:val="0"/>
        <w:spacing w:before="240" w:after="0"/>
        <w:jc w:val="left"/>
        <w:rPr>
          <w:rFonts w:ascii="Times New Roman" w:hAnsi="Times New Roman"/>
          <w:sz w:val="20"/>
        </w:rPr>
      </w:pPr>
      <w:r>
        <w:rPr>
          <w:rFonts w:ascii="Times New Roman" w:hAnsi="Times New Roman"/>
          <w:i/>
          <w:sz w:val="20"/>
        </w:rPr>
        <w:t>Preemptive and Consent Rights</w:t>
      </w:r>
      <w:r>
        <w:rPr>
          <w:rFonts w:ascii="Times New Roman" w:hAnsi="Times New Roman"/>
          <w:sz w:val="20"/>
        </w:rPr>
        <w:t xml:space="preserve">. Our seventh amended and restated certificate of incorporation grants holders of 20% or more of our issued and outstanding common stock (a) customary preemptive rights related to the issuance of certain of our securities and (b) consent rights prior us taking any of the following actions: (i) creating or issuing any new class or series of shares of capital stock (or securities convertible into or exercisable for shares of capital stock) having rights, preferences or privileges senior to or on parity with the common stock, (ii) subject to certain exceptions, repurchasing, retiring, redeeming or otherwise acquiring any of our equity securities (or securities convertible into or exchangeable for equity securities) or any subsidiary and (iii) adopting, or proposing to adopt, or maintaining any shareholders’ rights plan, “poison pill” or other similar plan or agreement, unless such stockholder is exempt from such plan or agreement. Invus possesses such preemptive and consent rights based on its current ownership interest in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Provisions of Delaware Law and Our Charter Documents </w:t>
      </w:r>
    </w:p>
    <w:p>
      <w:pPr>
        <w:pStyle w:val="TextBody"/>
        <w:bidi w:val="0"/>
        <w:spacing w:before="120" w:after="0"/>
        <w:jc w:val="left"/>
        <w:rPr>
          <w:rFonts w:ascii="Times New Roman" w:hAnsi="Times New Roman"/>
          <w:sz w:val="20"/>
        </w:rPr>
      </w:pPr>
      <w:r>
        <w:rPr>
          <w:rFonts w:ascii="Times New Roman" w:hAnsi="Times New Roman"/>
          <w:i/>
          <w:sz w:val="20"/>
        </w:rPr>
        <w:t>Delaware Takeover Statute</w:t>
      </w:r>
      <w:r>
        <w:rPr>
          <w:rFonts w:ascii="Times New Roman" w:hAnsi="Times New Roman"/>
          <w:sz w:val="20"/>
        </w:rPr>
        <w:t xml:space="preserve">. We are subject to the provisions of Section 203 of the Delaware General Corporation Law. In general, the statute prohibits a publicly-held Delaware corporation such as Lexicon from engaging in a business combination with an interested stockholder for a period of three years after the date of the transaction in which the person became an interested stockholder, unless the business combination is approved in a prescribed manner. For purposes of Section 203, a business combination includes a merger, asset sale or other transaction resulting in a financial benefit to the interested stockholder. An interested stockholder is a person who, together with affiliates and associates, owns (or within three years prior, did own) 15% or more of our voting stock. </w:t>
      </w:r>
    </w:p>
    <w:p>
      <w:pPr>
        <w:pStyle w:val="TextBody"/>
        <w:bidi w:val="0"/>
        <w:spacing w:before="240" w:after="0"/>
        <w:jc w:val="left"/>
        <w:rPr>
          <w:rFonts w:ascii="Times New Roman" w:hAnsi="Times New Roman"/>
          <w:sz w:val="20"/>
        </w:rPr>
      </w:pPr>
      <w:r>
        <w:rPr>
          <w:rFonts w:ascii="Times New Roman" w:hAnsi="Times New Roman"/>
          <w:i/>
          <w:sz w:val="20"/>
        </w:rPr>
        <w:t>Charter Documents</w:t>
      </w:r>
      <w:r>
        <w:rPr>
          <w:rFonts w:ascii="Times New Roman" w:hAnsi="Times New Roman"/>
          <w:sz w:val="20"/>
        </w:rPr>
        <w:t xml:space="preserve">. Our seventh amended and restated certificate of incorporation requires that any action required or permitted to be taken by our stockholders must be effected at a duly called annual or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stockholders and may not be effected by a consent in writing. Additionally, our seventh amended and restated certificate of incorporation: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provide for the use of cumulative voting in the election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provides for a board of directors, classified into three classes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provides that the authorized number of directors may be changed only by resolution of our board of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provides for the authority of our board of directors to issue up to five million shares of “blank check” preferred stock and to determine the price, powers, preferences and rights of these shares, without stockholder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second amended and restated bylaws provide that candidates for director may be nominated only by our board of directors or by a stockholder who gives written notice to us not less than 120 days nor more than 150 days in advance of the first anniversary of the date of our proxy statement relating to the previous year’s annual meeting of stockholders. The authorized number of directors is fixed in accordance with our seventh amended and restated certificate of incorporation. Our board of directors currently consists of eight members, divided into three classes. As a result, a portion of the board of directors will be elected each year. The board of directors may appoint new directors to fill vacancies or newly created directorships. Our second amended and restated bylaws also limit who may call a special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Delaware law and these charter provisions may have the effect of deterring hostile takeovers or delaying changes in control of our management, which could depress the market price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Inc. The transfer agent for any series of preferred stock will be named and described in the prospectus supplement for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140435_9"/>
      <w:bookmarkEnd w:id="11"/>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On May 4, 2026, we and certain of our subsidiaries party thereto entered into a loan and security agreement (the “Loan and Security Agreement”) with Hercules Capital, Inc. and certain lenders (the “Lenders”), in connection with which the Company agreed to issue and sell to the Lenders, among other things, the Warrants, entitling the holders thereof to purchase, in the aggregate, up to 1,257,856 shares of the Company’s common stock at an exercise price of $1.59 per share, subject to adjustment. The Warrants are exercisable immediately and expire five years from the date of issuance. In connection with the Loan and Security Agreement, on May 4, 2026, the Company entered into the Warrant Agreements with each of the Lenders, pursuant to which the Company issued the Warrants in reliance upon the exemption from registration provided by Section 4(a)(2) of the Securities Act as a transaction not involving any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covers the public resale of the shares of common stock issuable to the selling stockholders upon exercise of the Warrants, which we refer to collectively herein as the “Warrant Shares”. The selling stockholders may from time to time offer and sell pursuant to this prospectus any or all of the Warrant Shares owned by them, but make no representation that any of the Warrant Shares will be offered for sale. As may be updated in our most recent Annual Report on Form 10-K, including any proxy statement incorporated into such Annual Report, none of the selling stockholders is a director, officer or employee of ours or an affiliate of such person. The table below presents information regarding the selling stockholders and the Warrant Shares that each selling stockholder may offer and sell from time to time under this prospectus. The term “selling stockholder” includes the stockholder listed in the table below and its transferees, pledgees, donees, assignees or other successors.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each selling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Warrant Shares beneficially owned by each selling stockholder prior to the sale of the Warrant Shares covered by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Warrant Shares that may be offered by each selling stockholder pursuant to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Warrant Shares to be beneficially owned by each selling stockholder following the sale of any Warrant Shares covered by this 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shares of common stock owned by the selling stockholder following the sale of any Warrant Shares covered by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information with respect to common stock ownership of the selling stockholders has been furnished by or on behalf of the selling stockholders and is as of July 21, 2026. Based on information supplied by the selling stockholders, except as may otherwise be indicated in the footnotes to the table below, each selling stockholder has sole voting and dispositive power with respect to the shares of common stock reported as owned by them. However, the Warrants do not entitle the selling stockholders to any voting rights or other rights as a shareholder of the Company prior to the exercise thereof. </w:t>
      </w:r>
    </w:p>
    <w:p>
      <w:pPr>
        <w:pStyle w:val="TextBody"/>
        <w:bidi w:val="0"/>
        <w:spacing w:before="240" w:after="0"/>
        <w:jc w:val="left"/>
        <w:rPr>
          <w:rFonts w:ascii="Times New Roman" w:hAnsi="Times New Roman"/>
          <w:sz w:val="20"/>
        </w:rPr>
      </w:pPr>
      <w:r>
        <w:rPr>
          <w:rFonts w:ascii="Times New Roman" w:hAnsi="Times New Roman"/>
          <w:sz w:val="20"/>
        </w:rPr>
        <w:t xml:space="preserve">Because the selling stockholders identified in the table may sell some or all of the Warrant Shares owned by them which are included in this prospectus, and because there are currently no agreements, arrangements or understandings with respect to the sale of any of the Warrant Shares, no estimate can be given as to the number of Warrant Shares available for resale hereby that will be held by the selling stockholders upon termination of this offering. In addition, the selling stockholders may have sold, transferred or otherwise disposed of, or may sell, transfer or otherwise dispose of, at any time and from time to time, the shares of common stock they hold in transactions exempt from the registration requirements of the Securities Act after the date on which they provided the information set forth on the table below. We have, therefore, assumed for the purposes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following table, that the selling stockholders will sell all of the Warrant Shares beneficially owned by them that are covered by this prospectus, but will not sell any other shares of our common stock that they may presently own. The percent of beneficial ownership for the selling stockholders is based on 444,955,934 shares of common stock outstanding as of August 4, 2026. </w:t>
      </w:r>
    </w:p>
    <w:p>
      <w:pPr>
        <w:pStyle w:val="TextBody"/>
        <w:bidi w:val="0"/>
        <w:spacing w:before="0" w:after="0"/>
        <w:jc w:val="left"/>
        <w:rPr/>
      </w:pPr>
      <w:r>
        <w:rPr/>
        <w:t> </w:t>
      </w:r>
    </w:p>
    <w:tbl>
      <w:tblPr>
        <w:tblW w:w="10485" w:type="dxa"/>
        <w:jc w:val="center"/>
        <w:tblInd w:w="0" w:type="dxa"/>
        <w:tblLayout w:type="fixed"/>
        <w:tblCellMar>
          <w:top w:w="0" w:type="dxa"/>
          <w:left w:w="0" w:type="dxa"/>
          <w:bottom w:w="0" w:type="dxa"/>
          <w:right w:w="0" w:type="dxa"/>
        </w:tblCellMar>
      </w:tblPr>
      <w:tblGrid>
        <w:gridCol w:w="1115"/>
        <w:gridCol w:w="120"/>
        <w:gridCol w:w="103"/>
        <w:gridCol w:w="1687"/>
        <w:gridCol w:w="103"/>
        <w:gridCol w:w="206"/>
        <w:gridCol w:w="103"/>
        <w:gridCol w:w="863"/>
        <w:gridCol w:w="200"/>
        <w:gridCol w:w="60"/>
        <w:gridCol w:w="111"/>
        <w:gridCol w:w="1814"/>
        <w:gridCol w:w="60"/>
        <w:gridCol w:w="120"/>
        <w:gridCol w:w="138"/>
        <w:gridCol w:w="1427"/>
        <w:gridCol w:w="138"/>
        <w:gridCol w:w="276"/>
        <w:gridCol w:w="138"/>
        <w:gridCol w:w="1428"/>
        <w:gridCol w:w="275"/>
      </w:tblGrid>
      <w:tr>
        <w:trPr/>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11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65" w:type="dxa"/>
            <w:gridSpan w:val="6"/>
            <w:tcBorders/>
            <w:vAlign w:val="bottom"/>
          </w:tcPr>
          <w:p>
            <w:pPr>
              <w:pStyle w:val="TableContents"/>
              <w:bidi w:val="0"/>
              <w:spacing w:before="0" w:after="283"/>
              <w:jc w:val="center"/>
              <w:rPr>
                <w:b/>
              </w:rPr>
            </w:pPr>
            <w:r>
              <w:rPr>
                <w:b/>
              </w:rPr>
              <w:t>Warrant Shares Owned Prior</w:t>
              <w:br/>
              <w:t>to this Offering(1)</w:t>
            </w:r>
          </w:p>
        </w:tc>
        <w:tc>
          <w:tcPr>
            <w:tcW w:w="20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92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Maximum</w:t>
              <w:br/>
              <w:t>Number of</w:t>
              <w:br/>
              <w:t>Warrant Shares to</w:t>
              <w:br/>
              <w:t>be Sold Pursuant</w:t>
              <w:br/>
              <w:t>to this Prospectus</w:t>
            </w:r>
          </w:p>
        </w:tc>
        <w:tc>
          <w:tcPr>
            <w:tcW w:w="60" w:type="dxa"/>
            <w:vMerge w:val="restart"/>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545" w:type="dxa"/>
            <w:gridSpan w:val="6"/>
            <w:tcBorders/>
            <w:vAlign w:val="bottom"/>
          </w:tcPr>
          <w:p>
            <w:pPr>
              <w:pStyle w:val="TableContents"/>
              <w:bidi w:val="0"/>
              <w:spacing w:before="0" w:after="283"/>
              <w:jc w:val="center"/>
              <w:rPr>
                <w:b/>
              </w:rPr>
            </w:pPr>
            <w:r>
              <w:rPr>
                <w:b/>
              </w:rPr>
              <w:t>Warrant Shares Owned After Sale</w:t>
              <w:br/>
              <w:t>Pursuant to this Prospectus</w:t>
            </w:r>
          </w:p>
        </w:tc>
        <w:tc>
          <w:tcPr>
            <w:tcW w:w="275" w:type="dxa"/>
            <w:tcBorders/>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103"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0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92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138"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5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5" w:type="dxa"/>
            <w:tcBorders/>
            <w:vAlign w:val="bottom"/>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Selling Stockholders</w:t>
            </w:r>
          </w:p>
        </w:tc>
        <w:tc>
          <w:tcPr>
            <w:tcW w:w="12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1687"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863"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1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sz w:val="4"/>
                <w:szCs w:val="4"/>
              </w:rPr>
            </w:pPr>
            <w:r>
              <w:rPr>
                <w:sz w:val="4"/>
                <w:szCs w:val="4"/>
              </w:rPr>
            </w:r>
          </w:p>
        </w:tc>
        <w:tc>
          <w:tcPr>
            <w:tcW w:w="1427"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sz w:val="4"/>
                <w:szCs w:val="4"/>
              </w:rPr>
            </w:pPr>
            <w:r>
              <w:rPr>
                <w:sz w:val="4"/>
                <w:szCs w:val="4"/>
              </w:rPr>
            </w:r>
          </w:p>
        </w:tc>
        <w:tc>
          <w:tcPr>
            <w:tcW w:w="142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115" w:type="dxa"/>
            <w:tcBorders/>
          </w:tcPr>
          <w:p>
            <w:pPr>
              <w:pStyle w:val="TableContents"/>
              <w:bidi w:val="0"/>
              <w:spacing w:before="0" w:after="0"/>
              <w:jc w:val="left"/>
              <w:rPr>
                <w:rFonts w:ascii="Times New Roman" w:hAnsi="Times New Roman"/>
                <w:sz w:val="20"/>
              </w:rPr>
            </w:pPr>
            <w:r>
              <w:rPr>
                <w:rFonts w:ascii="Times New Roman" w:hAnsi="Times New Roman"/>
                <w:sz w:val="20"/>
              </w:rPr>
              <w:t>Hercules Capital, Inc.(2)</w:t>
            </w:r>
          </w:p>
        </w:tc>
        <w:tc>
          <w:tcPr>
            <w:tcW w:w="12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687" w:type="dxa"/>
            <w:tcBorders/>
            <w:vAlign w:val="bottom"/>
          </w:tcPr>
          <w:p>
            <w:pPr>
              <w:pStyle w:val="TableContents"/>
              <w:bidi w:val="0"/>
              <w:spacing w:before="0" w:after="283"/>
              <w:jc w:val="right"/>
              <w:rPr/>
            </w:pPr>
            <w:r>
              <w:rPr/>
              <w:t>985,849</w:t>
            </w:r>
          </w:p>
        </w:tc>
        <w:tc>
          <w:tcPr>
            <w:tcW w:w="103"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63"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814" w:type="dxa"/>
            <w:tcBorders/>
            <w:vAlign w:val="bottom"/>
          </w:tcPr>
          <w:p>
            <w:pPr>
              <w:pStyle w:val="TableContents"/>
              <w:bidi w:val="0"/>
              <w:spacing w:before="0" w:after="283"/>
              <w:jc w:val="right"/>
              <w:rPr/>
            </w:pPr>
            <w:r>
              <w:rPr/>
              <w:t>985,849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27" w:type="dxa"/>
            <w:tcBorders/>
            <w:vAlign w:val="bottom"/>
          </w:tcPr>
          <w:p>
            <w:pPr>
              <w:pStyle w:val="TableContents"/>
              <w:bidi w:val="0"/>
              <w:spacing w:before="0" w:after="283"/>
              <w:jc w:val="right"/>
              <w:rPr/>
            </w:pPr>
            <w:r>
              <w:rPr/>
              <w:t>  </w:t>
            </w:r>
            <w:r>
              <w:rPr/>
              <w:t>0</w:t>
            </w:r>
          </w:p>
        </w:tc>
        <w:tc>
          <w:tcPr>
            <w:tcW w:w="138"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  </w:t>
            </w:r>
            <w:r>
              <w:rPr/>
              <w:t>0</w:t>
            </w:r>
          </w:p>
        </w:tc>
        <w:tc>
          <w:tcPr>
            <w:tcW w:w="275" w:type="dxa"/>
            <w:tcBorders/>
            <w:vAlign w:val="bottom"/>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Hercules SBIC V, L.P.(3)</w:t>
            </w:r>
          </w:p>
        </w:tc>
        <w:tc>
          <w:tcPr>
            <w:tcW w:w="12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687" w:type="dxa"/>
            <w:tcBorders/>
            <w:shd w:fill="CCEEFF" w:val="clear"/>
            <w:vAlign w:val="bottom"/>
          </w:tcPr>
          <w:p>
            <w:pPr>
              <w:pStyle w:val="TableContents"/>
              <w:bidi w:val="0"/>
              <w:spacing w:before="0" w:after="283"/>
              <w:jc w:val="right"/>
              <w:rPr/>
            </w:pPr>
            <w:r>
              <w:rPr/>
              <w:t>12,578</w:t>
            </w:r>
          </w:p>
        </w:tc>
        <w:tc>
          <w:tcPr>
            <w:tcW w:w="103"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814" w:type="dxa"/>
            <w:tcBorders/>
            <w:shd w:fill="CCEEFF" w:val="clear"/>
            <w:vAlign w:val="bottom"/>
          </w:tcPr>
          <w:p>
            <w:pPr>
              <w:pStyle w:val="TableContents"/>
              <w:bidi w:val="0"/>
              <w:spacing w:before="0" w:after="283"/>
              <w:jc w:val="right"/>
              <w:rPr/>
            </w:pPr>
            <w:r>
              <w:rPr/>
              <w:t>12,578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27" w:type="dxa"/>
            <w:tcBorders/>
            <w:shd w:fill="CCEEFF" w:val="clear"/>
            <w:vAlign w:val="bottom"/>
          </w:tcPr>
          <w:p>
            <w:pPr>
              <w:pStyle w:val="TableContents"/>
              <w:bidi w:val="0"/>
              <w:spacing w:before="0" w:after="283"/>
              <w:jc w:val="right"/>
              <w:rPr/>
            </w:pPr>
            <w:r>
              <w:rPr/>
              <w:t>  </w:t>
            </w:r>
            <w:r>
              <w:rPr/>
              <w:t>0</w:t>
            </w:r>
          </w:p>
        </w:tc>
        <w:tc>
          <w:tcPr>
            <w:tcW w:w="138"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  </w:t>
            </w:r>
            <w:r>
              <w:rPr/>
              <w:t>0</w:t>
            </w:r>
          </w:p>
        </w:tc>
        <w:tc>
          <w:tcPr>
            <w:tcW w:w="275" w:type="dxa"/>
            <w:tcBorders/>
            <w:shd w:fill="CCEEFF" w:val="clear"/>
            <w:vAlign w:val="bottom"/>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Times New Roman" w:hAnsi="Times New Roman"/>
                <w:sz w:val="20"/>
              </w:rPr>
            </w:pPr>
            <w:r>
              <w:rPr>
                <w:rFonts w:ascii="Times New Roman" w:hAnsi="Times New Roman"/>
                <w:sz w:val="20"/>
              </w:rPr>
              <w:t>Hercules Private Credit Fund 1 L.P.(4)</w:t>
            </w:r>
          </w:p>
        </w:tc>
        <w:tc>
          <w:tcPr>
            <w:tcW w:w="12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687" w:type="dxa"/>
            <w:tcBorders/>
            <w:vAlign w:val="bottom"/>
          </w:tcPr>
          <w:p>
            <w:pPr>
              <w:pStyle w:val="TableContents"/>
              <w:bidi w:val="0"/>
              <w:spacing w:before="0" w:after="283"/>
              <w:jc w:val="right"/>
              <w:rPr/>
            </w:pPr>
            <w:r>
              <w:rPr/>
              <w:t>117,923</w:t>
            </w:r>
          </w:p>
        </w:tc>
        <w:tc>
          <w:tcPr>
            <w:tcW w:w="103"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63"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814" w:type="dxa"/>
            <w:tcBorders/>
            <w:vAlign w:val="bottom"/>
          </w:tcPr>
          <w:p>
            <w:pPr>
              <w:pStyle w:val="TableContents"/>
              <w:bidi w:val="0"/>
              <w:spacing w:before="0" w:after="283"/>
              <w:jc w:val="right"/>
              <w:rPr/>
            </w:pPr>
            <w:r>
              <w:rPr/>
              <w:t>117,923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27" w:type="dxa"/>
            <w:tcBorders/>
            <w:vAlign w:val="bottom"/>
          </w:tcPr>
          <w:p>
            <w:pPr>
              <w:pStyle w:val="TableContents"/>
              <w:bidi w:val="0"/>
              <w:spacing w:before="0" w:after="283"/>
              <w:jc w:val="right"/>
              <w:rPr/>
            </w:pPr>
            <w:r>
              <w:rPr/>
              <w:t>  </w:t>
            </w:r>
            <w:r>
              <w:rPr/>
              <w:t>0</w:t>
            </w:r>
          </w:p>
        </w:tc>
        <w:tc>
          <w:tcPr>
            <w:tcW w:w="138"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  </w:t>
            </w:r>
            <w:r>
              <w:rPr/>
              <w:t>0</w:t>
            </w:r>
          </w:p>
        </w:tc>
        <w:tc>
          <w:tcPr>
            <w:tcW w:w="275" w:type="dxa"/>
            <w:tcBorders/>
            <w:vAlign w:val="bottom"/>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Hercules Growth Lending Fund IV LP(5)</w:t>
            </w:r>
          </w:p>
        </w:tc>
        <w:tc>
          <w:tcPr>
            <w:tcW w:w="12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687" w:type="dxa"/>
            <w:tcBorders/>
            <w:shd w:fill="CCEEFF" w:val="clear"/>
            <w:vAlign w:val="bottom"/>
          </w:tcPr>
          <w:p>
            <w:pPr>
              <w:pStyle w:val="TableContents"/>
              <w:bidi w:val="0"/>
              <w:spacing w:before="0" w:after="283"/>
              <w:jc w:val="right"/>
              <w:rPr/>
            </w:pPr>
            <w:r>
              <w:rPr/>
              <w:t>70,753</w:t>
            </w:r>
          </w:p>
        </w:tc>
        <w:tc>
          <w:tcPr>
            <w:tcW w:w="103"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814" w:type="dxa"/>
            <w:tcBorders/>
            <w:shd w:fill="CCEEFF" w:val="clear"/>
            <w:vAlign w:val="bottom"/>
          </w:tcPr>
          <w:p>
            <w:pPr>
              <w:pStyle w:val="TableContents"/>
              <w:bidi w:val="0"/>
              <w:spacing w:before="0" w:after="283"/>
              <w:jc w:val="right"/>
              <w:rPr/>
            </w:pPr>
            <w:r>
              <w:rPr/>
              <w:t>70,753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27" w:type="dxa"/>
            <w:tcBorders/>
            <w:shd w:fill="CCEEFF" w:val="clear"/>
            <w:vAlign w:val="bottom"/>
          </w:tcPr>
          <w:p>
            <w:pPr>
              <w:pStyle w:val="TableContents"/>
              <w:bidi w:val="0"/>
              <w:spacing w:before="0" w:after="283"/>
              <w:jc w:val="right"/>
              <w:rPr/>
            </w:pPr>
            <w:r>
              <w:rPr/>
              <w:t>  </w:t>
            </w:r>
            <w:r>
              <w:rPr/>
              <w:t>0</w:t>
            </w:r>
          </w:p>
        </w:tc>
        <w:tc>
          <w:tcPr>
            <w:tcW w:w="138"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  </w:t>
            </w:r>
            <w:r>
              <w:rPr/>
              <w:t>0</w:t>
            </w:r>
          </w:p>
        </w:tc>
        <w:tc>
          <w:tcPr>
            <w:tcW w:w="275" w:type="dxa"/>
            <w:tcBorders/>
            <w:shd w:fill="CCEEFF" w:val="clear"/>
            <w:vAlign w:val="bottom"/>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Times New Roman" w:hAnsi="Times New Roman"/>
                <w:sz w:val="20"/>
              </w:rPr>
            </w:pPr>
            <w:r>
              <w:rPr>
                <w:rFonts w:ascii="Times New Roman" w:hAnsi="Times New Roman"/>
                <w:sz w:val="20"/>
              </w:rPr>
              <w:t>Hercules Evergreen Fund LP(6)</w:t>
            </w:r>
          </w:p>
        </w:tc>
        <w:tc>
          <w:tcPr>
            <w:tcW w:w="12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687" w:type="dxa"/>
            <w:tcBorders/>
            <w:vAlign w:val="bottom"/>
          </w:tcPr>
          <w:p>
            <w:pPr>
              <w:pStyle w:val="TableContents"/>
              <w:bidi w:val="0"/>
              <w:spacing w:before="0" w:after="283"/>
              <w:jc w:val="right"/>
              <w:rPr/>
            </w:pPr>
            <w:r>
              <w:rPr/>
              <w:t>70,753</w:t>
            </w:r>
          </w:p>
        </w:tc>
        <w:tc>
          <w:tcPr>
            <w:tcW w:w="103"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63"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814" w:type="dxa"/>
            <w:tcBorders/>
            <w:vAlign w:val="bottom"/>
          </w:tcPr>
          <w:p>
            <w:pPr>
              <w:pStyle w:val="TableContents"/>
              <w:bidi w:val="0"/>
              <w:spacing w:before="0" w:after="283"/>
              <w:jc w:val="right"/>
              <w:rPr/>
            </w:pPr>
            <w:r>
              <w:rPr/>
              <w:t>70,753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27" w:type="dxa"/>
            <w:tcBorders/>
            <w:vAlign w:val="bottom"/>
          </w:tcPr>
          <w:p>
            <w:pPr>
              <w:pStyle w:val="TableContents"/>
              <w:bidi w:val="0"/>
              <w:spacing w:before="0" w:after="283"/>
              <w:jc w:val="right"/>
              <w:rPr/>
            </w:pPr>
            <w:r>
              <w:rPr/>
              <w:t>  </w:t>
            </w:r>
            <w:r>
              <w:rPr/>
              <w:t>0</w:t>
            </w:r>
          </w:p>
        </w:tc>
        <w:tc>
          <w:tcPr>
            <w:tcW w:w="138"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  </w:t>
            </w:r>
            <w:r>
              <w:rPr/>
              <w:t>0</w:t>
            </w:r>
          </w:p>
        </w:tc>
        <w:tc>
          <w:tcPr>
            <w:tcW w:w="275" w:type="dxa"/>
            <w:tcBorders/>
            <w:vAlign w:val="bottom"/>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687" w:type="dxa"/>
            <w:tcBorders/>
            <w:shd w:fill="CCEEFF" w:val="clear"/>
            <w:vAlign w:val="bottom"/>
          </w:tcPr>
          <w:p>
            <w:pPr>
              <w:pStyle w:val="TableContents"/>
              <w:bidi w:val="0"/>
              <w:spacing w:before="0" w:after="283"/>
              <w:jc w:val="right"/>
              <w:rPr/>
            </w:pPr>
            <w:r>
              <w:rPr/>
              <w:t>1,257,856</w:t>
            </w:r>
          </w:p>
        </w:tc>
        <w:tc>
          <w:tcPr>
            <w:tcW w:w="103"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814" w:type="dxa"/>
            <w:tcBorders/>
            <w:shd w:fill="CCEEFF" w:val="clear"/>
            <w:vAlign w:val="bottom"/>
          </w:tcPr>
          <w:p>
            <w:pPr>
              <w:pStyle w:val="TableContents"/>
              <w:bidi w:val="0"/>
              <w:spacing w:before="0" w:after="283"/>
              <w:jc w:val="right"/>
              <w:rPr/>
            </w:pPr>
            <w:r>
              <w:rPr/>
              <w:t>1,257,856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27" w:type="dxa"/>
            <w:tcBorders/>
            <w:shd w:fill="CCEEFF" w:val="clear"/>
            <w:vAlign w:val="bottom"/>
          </w:tcPr>
          <w:p>
            <w:pPr>
              <w:pStyle w:val="TableContents"/>
              <w:bidi w:val="0"/>
              <w:spacing w:before="0" w:after="283"/>
              <w:jc w:val="right"/>
              <w:rPr/>
            </w:pPr>
            <w:r>
              <w:rPr/>
              <w:t>  </w:t>
            </w:r>
            <w:r>
              <w:rPr/>
              <w:t>0</w:t>
            </w:r>
          </w:p>
        </w:tc>
        <w:tc>
          <w:tcPr>
            <w:tcW w:w="138"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  </w:t>
            </w:r>
            <w:r>
              <w:rPr/>
              <w:t>0</w:t>
            </w:r>
          </w:p>
        </w:tc>
        <w:tc>
          <w:tcPr>
            <w:tcW w:w="275" w:type="dxa"/>
            <w:tcBorders/>
            <w:shd w:fill="CCEEFF" w:val="clear"/>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double" w:sz="6" w:space="1" w:color="000000"/>
              </w:pBdr>
              <w:bidi w:val="0"/>
              <w:spacing w:before="0" w:after="0"/>
              <w:jc w:val="left"/>
              <w:rPr/>
            </w:pPr>
            <w:r>
              <w:rPr/>
              <w:t> </w:t>
            </w:r>
          </w:p>
        </w:tc>
        <w:tc>
          <w:tcPr>
            <w:tcW w:w="1687" w:type="dxa"/>
            <w:tcBorders/>
            <w:vAlign w:val="bottom"/>
          </w:tcPr>
          <w:p>
            <w:pPr>
              <w:pStyle w:val="TableContents"/>
              <w:pBdr>
                <w:top w:val="double" w:sz="6" w:space="1" w:color="000000"/>
              </w:pBdr>
              <w:bidi w:val="0"/>
              <w:spacing w:before="0" w:after="0"/>
              <w:jc w:val="left"/>
              <w:rPr/>
            </w:pPr>
            <w:r>
              <w:rPr/>
              <w:t> </w:t>
            </w:r>
          </w:p>
        </w:tc>
        <w:tc>
          <w:tcPr>
            <w:tcW w:w="103"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double" w:sz="6" w:space="1" w:color="000000"/>
              </w:pBdr>
              <w:bidi w:val="0"/>
              <w:spacing w:before="0" w:after="0"/>
              <w:jc w:val="left"/>
              <w:rPr/>
            </w:pPr>
            <w:r>
              <w:rPr/>
              <w:t> </w:t>
            </w:r>
          </w:p>
        </w:tc>
        <w:tc>
          <w:tcPr>
            <w:tcW w:w="863" w:type="dxa"/>
            <w:tcBorders/>
            <w:vAlign w:val="bottom"/>
          </w:tcPr>
          <w:p>
            <w:pPr>
              <w:pStyle w:val="TableContents"/>
              <w:pBdr>
                <w:top w:val="double" w:sz="6"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double" w:sz="6" w:space="1" w:color="000000"/>
              </w:pBdr>
              <w:bidi w:val="0"/>
              <w:spacing w:before="0" w:after="0"/>
              <w:jc w:val="left"/>
              <w:rPr/>
            </w:pPr>
            <w:r>
              <w:rPr/>
              <w:t> </w:t>
            </w:r>
          </w:p>
        </w:tc>
        <w:tc>
          <w:tcPr>
            <w:tcW w:w="18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8" w:type="dxa"/>
            <w:tcBorders/>
            <w:vAlign w:val="bottom"/>
          </w:tcPr>
          <w:p>
            <w:pPr>
              <w:pStyle w:val="TableContents"/>
              <w:pBdr>
                <w:top w:val="double" w:sz="6" w:space="1" w:color="000000"/>
              </w:pBdr>
              <w:bidi w:val="0"/>
              <w:spacing w:before="0" w:after="0"/>
              <w:jc w:val="left"/>
              <w:rPr/>
            </w:pPr>
            <w:r>
              <w:rPr/>
              <w:t> </w:t>
            </w:r>
          </w:p>
        </w:tc>
        <w:tc>
          <w:tcPr>
            <w:tcW w:w="1427" w:type="dxa"/>
            <w:tcBorders/>
            <w:vAlign w:val="bottom"/>
          </w:tcPr>
          <w:p>
            <w:pPr>
              <w:pStyle w:val="TableContents"/>
              <w:pBdr>
                <w:top w:val="double" w:sz="6" w:space="1" w:color="000000"/>
              </w:pBdr>
              <w:bidi w:val="0"/>
              <w:spacing w:before="0" w:after="0"/>
              <w:jc w:val="left"/>
              <w:rPr/>
            </w:pPr>
            <w:r>
              <w:rPr/>
              <w:t> </w:t>
            </w:r>
          </w:p>
        </w:tc>
        <w:tc>
          <w:tcPr>
            <w:tcW w:w="138"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38" w:type="dxa"/>
            <w:tcBorders/>
            <w:vAlign w:val="bottom"/>
          </w:tcPr>
          <w:p>
            <w:pPr>
              <w:pStyle w:val="TableContents"/>
              <w:pBdr>
                <w:top w:val="double" w:sz="6" w:space="1" w:color="000000"/>
              </w:pBdr>
              <w:bidi w:val="0"/>
              <w:spacing w:before="0" w:after="0"/>
              <w:jc w:val="left"/>
              <w:rPr/>
            </w:pPr>
            <w:r>
              <w:rPr/>
              <w:t> </w:t>
            </w:r>
          </w:p>
        </w:tc>
        <w:tc>
          <w:tcPr>
            <w:tcW w:w="1428"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Denotes less than 1% of the shares of common stock outstanding.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pPr>
            <w:r>
              <w:rPr/>
              <w:t>“</w:t>
            </w:r>
            <w:r>
              <w:rPr>
                <w:rFonts w:ascii="Times New Roman" w:hAnsi="Times New Roman"/>
                <w:sz w:val="20"/>
              </w:rPr>
              <w:t xml:space="preserve">Warrant Shares Owned Prior to this Offering” refers to maximum number of Warrant Shares issuable if each tranche of the applicable Selling Stockholder’s commitments set forth on Schedule 1.1 of the Loan and Security Agreement is funded in full. The Warrants are exercisable only for the funded tranches of each Selling Stockholder’s total commitment.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Hercules Capital, Inc. (“HCI”) is a Maryland corporation. The address of HCI is 1 N. B Street, Suite 2000, San Mateo, CA 94401.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Hercules SBIC V, L.P. is a partnership and wholly owned subsidiary of HCI. The address of Hercules SBIC V, L.P. is 1 N. B Street, Suite 2000, San Mateo, CA 94401. The number of Warrant Shares owned by Hercules SBIC V, L.P. includes Warrant Shares owned both in its own capacity and as successor in interest to Hercules Venture Growth Credit Opportunities Fund 1 L.P.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Hercules Private Credit Fund 1 L.P. is a partnership, managed by Hercules Private Global Venture Growth Fund GP I LLC (“HPGVGF GP”), general partner of Hercules Private Credit Fund 1 L.P., which is managed by Hercules Partner Holdings, LLC (“HPH”), sole member of HPGVGF GP, which is managed by Hercules Capital Management, LLC (“HCM”), sole member of HPH, which is managed by HCI, sole member of HCM. HCI is a reporting company under the Securities Exchange Act of 1934, as amended (the “Exchange Act”). The address of Hercules Private Credit Fund 1 L.P. is 1 N. B Street, Suite 2000, San Mateo, CA 94401.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Hercules Growth Lending Fund IV LP is a partnership, managed by Hercules Growth Lending Fund IV GP LLC (“HGLF IV GP”), general partner of Hercules Growth Lending Fund IV LP, which is managed by HPH, sole member of HGLF IV GP, which is managed by HCM, sole member of HPH, which is managed by HCI, sole member of HCM. HCI is a reporting company under the Exchange Act. The address of Hercules Growth Lending Fund IV LP is 1 N. B Street, Suite 2000, San Mateo, CA 94401.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Hercules Evergreen Fund LP is a partnership, managed by Hercules Evergreen Fund GP LLC (“HEF GP”), general partner of Hercules Evergreen Fund LP, which is managed by HPH, sole member of HEF GP, which is managed by HCM, sole member of HPH, which is managed by HCI, sole member of HCM. HCI is a reporting company under the Exchange Act. The address of Hercules Evergreen Fund LP is 1 N. B Street, Suite 2000, San Mateo, CA 94401. </w:t>
            </w:r>
          </w:p>
        </w:tc>
      </w:tr>
    </w:tbl>
    <w:p>
      <w:pPr>
        <w:pStyle w:val="TextBody"/>
        <w:bidi w:val="0"/>
        <w:spacing w:before="360" w:after="0"/>
        <w:jc w:val="left"/>
        <w:rPr>
          <w:rFonts w:ascii="Times New Roman" w:hAnsi="Times New Roman"/>
          <w:sz w:val="20"/>
        </w:rPr>
      </w:pPr>
      <w:r>
        <w:rPr>
          <w:rFonts w:ascii="Times New Roman" w:hAnsi="Times New Roman"/>
          <w:sz w:val="20"/>
        </w:rPr>
        <w:t xml:space="preserve">Warrant Agreements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Warrant Agreements, the selling stockholders have certain rights briefly outlined below, upon the terms and subject to the conditions set forth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Registration Right</w:t>
      </w:r>
      <w:r>
        <w:rPr>
          <w:rFonts w:ascii="Times New Roman" w:hAnsi="Times New Roman"/>
          <w:sz w:val="20"/>
        </w:rPr>
        <w:t xml:space="preserve">s. Subject to certain limitations, we will, within 90 calendar days following the issuance of the Warrants, file with the SEC a shelf registration statement registering the resale of the Warrant Shares on a delayed and continuous basis, and the Company shall use commercially reasonable efforts to have the registration statement declared effective as soon as reasonably practicable thereafter. </w:t>
      </w:r>
    </w:p>
    <w:p>
      <w:pPr>
        <w:pStyle w:val="TextBody"/>
        <w:bidi w:val="0"/>
        <w:spacing w:before="240" w:after="0"/>
        <w:jc w:val="left"/>
        <w:rPr>
          <w:rFonts w:ascii="Times New Roman" w:hAnsi="Times New Roman"/>
          <w:sz w:val="20"/>
        </w:rPr>
      </w:pPr>
      <w:r>
        <w:rPr>
          <w:rFonts w:ascii="Times New Roman" w:hAnsi="Times New Roman"/>
          <w:i/>
          <w:sz w:val="20"/>
        </w:rPr>
        <w:t>Conditions and Limitations</w:t>
      </w:r>
      <w:r>
        <w:rPr>
          <w:rFonts w:ascii="Times New Roman" w:hAnsi="Times New Roman"/>
          <w:sz w:val="20"/>
        </w:rPr>
        <w:t xml:space="preserve">. The registration rights outlined above are subject to conditions and limitations, including our right to delay or withdraw a registration statement under specified circumstances. </w:t>
      </w:r>
    </w:p>
    <w:p>
      <w:pPr>
        <w:pStyle w:val="TextBody"/>
        <w:bidi w:val="0"/>
        <w:spacing w:before="240" w:after="0"/>
        <w:jc w:val="left"/>
        <w:rPr>
          <w:rFonts w:ascii="Times New Roman" w:hAnsi="Times New Roman"/>
          <w:sz w:val="20"/>
        </w:rPr>
      </w:pPr>
      <w:r>
        <w:rPr>
          <w:rFonts w:ascii="Times New Roman" w:hAnsi="Times New Roman"/>
          <w:i/>
          <w:sz w:val="20"/>
        </w:rPr>
        <w:t>Expenses</w:t>
      </w:r>
      <w:r>
        <w:rPr>
          <w:rFonts w:ascii="Times New Roman" w:hAnsi="Times New Roman"/>
          <w:sz w:val="20"/>
        </w:rPr>
        <w:t xml:space="preserve">. Subject to certain limitations, in connection with any registration effected pursuant to the terms of the Warrant Agreements, we are required to pay for all of the fees and expenses incurred in connection with such registration, including, without limitation, registration fees, qualification and filing fees and printing expenses. However, the underwriting discounts and selling commissions payable in respect of the securities included in any registration are to be paid by the selling stockholders including such securities in any such registration on a pro rata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140435_10"/>
      <w:bookmarkEnd w:id="12"/>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sell, transfer or otherwise dispose of any or all of their shares or interests in the shares on any stock exchange, market or trading facility on which the shares are traded or in private transactions. The term “selling stockholders” includes donees, pledgees, transferees or other successors in interest selling securities received after the date of this prospectus from a selling stockholder as a gift, pledge, partnership distribution or other transfer. The selling stockholders may sell their shares of common stock from time to time at the prevailing market price or in privately negotiated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use any one or more of the following methods when disposing of shares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Nasdaq, in the over-the-counter market or on any other securities exchange on which our common stock is listed or traded;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underwritten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to limited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effected after the date the registration statement of which this prospectus is a part is declared effective by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stockholders to sell a specified number of such shares at a stipulated price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sell the shares at fixed prices, at prices then prevailing or related to the then current market price or at negotiated prices. The offering price of the shares from time to time will be determined by the selling stockholders and, at the time of the determination, may be higher or lower than the market price of our common stock on the Nasdaq or any other exchange or market. </w:t>
      </w:r>
    </w:p>
    <w:p>
      <w:pPr>
        <w:pStyle w:val="TextBody"/>
        <w:bidi w:val="0"/>
        <w:spacing w:before="240" w:after="0"/>
        <w:jc w:val="left"/>
        <w:rPr>
          <w:rFonts w:ascii="Times New Roman" w:hAnsi="Times New Roman"/>
          <w:sz w:val="20"/>
        </w:rPr>
      </w:pPr>
      <w:r>
        <w:rPr>
          <w:rFonts w:ascii="Times New Roman" w:hAnsi="Times New Roman"/>
          <w:sz w:val="20"/>
        </w:rPr>
        <w:t xml:space="preserve">The shares may be sold directly or through broker-dealers acting as principal or agent, or pursuant to a distribution by one or more underwriters on a firm commitment or best-efforts basis. The selling stockholders may also enter into hedging transactions with broker-dealers. In connection with such transactions, broker-dealers of other financial institutions may engage in short sales of our common stock in the course of hedging the positions they assume with the selling stockholders. The selling stockholders may also enter into options or other transactions with broker-dealers or other financial institutions which require the delivery to such broker-dealer or other financial institution of shares offered by this prospectus, which shares such broker-dealer or other financial institution may resell pursuant to this prospectus (as supplemented or amended to reflect such transaction). In connection with an underwritten offering, underwriters or agents may receive compensation in the form of discounts, concessions or commissions from the selling stockholders or from purchasers of the offered shares for whom they may act as agents. In addition, underwriters may sell the shares to or through dealers, and those dealers may receive compensation in the form of discounts, concessions or commissions from the underwriters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and/or commissions from the purchasers for whom they may act as agents. The selling stockholders and any underwriters, dealers or agents participating in a distribution of the shares may be deemed to be underwriters within the meaning of the Securities Act, and any profit on the sale of the shares by the selling stockholders and any commissions received by broker-dealers may be deemed to be underwriting commissions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agree to indemnify an underwriter, broker-dealer or agent against certain liabilities related to the selling of their shares, including liabilities arising under the Securities Act. Under the Warrant Agreement, we have agreed to pay the costs, expenses and fees of registering the shares of common stock. All other expenses of issuance and distribution will be borne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are subject to the applicable provisions of the Exchange Act, and the rules and regulations under the Exchange Act, including Regulation M. This regulation may limit the timing of purchases and sales of any of the shares of common stock offered in this prospectus by the selling stockholders. The anti-manipulation rules under the Exchange Act may apply to sales of shares in the market and to the activities of the selling stockholders and their respective affiliates. Furthermore, Regulation M may restrict the ability of any person engaged in the distribution of the shares to engage in market-making activities for the particular securities being distributed for a period of up to five business days before the distribution. The restrictions may affect the marketability of the shares and the ability of any person or entity to engage in market-making activities for the shares.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this prospectus may be amended and/or supplemented from time to time to describe a specific plan of distribution. Instead of selling the shares of common stock under this prospectus, the selling stockholders may sell the shares of common stock in compliance with the provisions of Rule 144 under the Securities Act, if available, or pursuant to other available exemptions from the registration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Under the securities laws of some states, if applicable, the securities registered hereby may be sold in those states only through registered or licensed brokers or dealers. In addition, in some states such securities may not be sold unless they have been registered or qualified for sale or an exemption from registration or qualification requirements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the selling stockholders will sell all or any portion of our common stock offered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140435_11"/>
      <w:bookmarkEnd w:id="1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issuance of the securities offered by this prospectus has been passed upon for us by Vinson &amp; Elkins L.L.P., Houston, Texas. </w:t>
      </w:r>
    </w:p>
    <w:p>
      <w:pPr>
        <w:pStyle w:val="TextBody"/>
        <w:bidi w:val="0"/>
        <w:spacing w:before="480" w:after="0"/>
        <w:jc w:val="center"/>
        <w:rPr>
          <w:rFonts w:ascii="Times New Roman" w:hAnsi="Times New Roman"/>
          <w:b/>
          <w:sz w:val="20"/>
        </w:rPr>
      </w:pPr>
      <w:bookmarkStart w:id="14" w:name="toc140435_12"/>
      <w:bookmarkEnd w:id="1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our consolidated financial statements included in our Annual Report on Form 10-K for the year ended December 31, 2025,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14.</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b/>
                <w:i/>
                <w:sz w:val="20"/>
              </w:rPr>
              <w:t>Other Expenses of Issuance and Distribution</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Set forth below are the expenses (other than underwriting discounts and commissions) expected to be incurred in connection with the offering of the securities registered hereby.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63"/>
        <w:gridCol w:w="414"/>
        <w:gridCol w:w="142"/>
        <w:gridCol w:w="757"/>
        <w:gridCol w:w="63"/>
      </w:tblGrid>
      <w:tr>
        <w:trPr/>
        <w:tc>
          <w:tcPr>
            <w:tcW w:w="5563" w:type="dxa"/>
            <w:tcBorders/>
            <w:vAlign w:val="center"/>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57" w:type="dxa"/>
            <w:tcBorders/>
            <w:shd w:fill="CCEEFF" w:val="clear"/>
            <w:vAlign w:val="bottom"/>
          </w:tcPr>
          <w:p>
            <w:pPr>
              <w:pStyle w:val="TableContents"/>
              <w:bidi w:val="0"/>
              <w:spacing w:before="0" w:after="283"/>
              <w:jc w:val="right"/>
              <w:rPr/>
            </w:pPr>
            <w:r>
              <w:rPr/>
              <w:t>420.38</w:t>
            </w:r>
          </w:p>
        </w:tc>
        <w:tc>
          <w:tcPr>
            <w:tcW w:w="63" w:type="dxa"/>
            <w:tcBorders/>
            <w:shd w:fill="CCEEFF" w:val="clear"/>
            <w:vAlign w:val="bottom"/>
          </w:tcPr>
          <w:p>
            <w:pPr>
              <w:pStyle w:val="TableContents"/>
              <w:bidi w:val="0"/>
              <w:spacing w:before="0" w:after="283"/>
              <w:jc w:val="left"/>
              <w:rPr/>
            </w:pPr>
            <w:r>
              <w:rPr/>
              <w:t> </w:t>
            </w:r>
          </w:p>
        </w:tc>
      </w:tr>
      <w:tr>
        <w:trPr/>
        <w:tc>
          <w:tcPr>
            <w:tcW w:w="5563" w:type="dxa"/>
            <w:tcBorders/>
          </w:tcPr>
          <w:p>
            <w:pPr>
              <w:pStyle w:val="TableContents"/>
              <w:bidi w:val="0"/>
              <w:spacing w:before="0" w:after="0"/>
              <w:jc w:val="left"/>
              <w:rPr>
                <w:rFonts w:ascii="Times New Roman" w:hAnsi="Times New Roman"/>
                <w:sz w:val="20"/>
              </w:rPr>
            </w:pPr>
            <w:r>
              <w:rPr>
                <w:rFonts w:ascii="Times New Roman" w:hAnsi="Times New Roman"/>
                <w:sz w:val="20"/>
              </w:rPr>
              <w:t>Printing and engraving expenses</w:t>
            </w:r>
          </w:p>
        </w:tc>
        <w:tc>
          <w:tcPr>
            <w:tcW w:w="4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5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5563"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5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Transfer agent and registrar fees</w:t>
            </w:r>
          </w:p>
        </w:tc>
        <w:tc>
          <w:tcPr>
            <w:tcW w:w="4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5563"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4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5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57"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5563" w:type="dxa"/>
            <w:tcBorders/>
            <w:vAlign w:val="bottom"/>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75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are calculated based on the number of issuances and amount of securities offered and accordingly cannot be estimated at this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15.</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b/>
                <w:i/>
                <w:sz w:val="20"/>
              </w:rPr>
              <w:t>Indemnification of Directors and Officers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Section 145 of the Delaware General Corporation Law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Section 145 further provides that a corporation similarly may indemnify any such person serving in any such capacity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such other court in which such action or suit was brought shall determine upon application that, despite the adjudication of liability but in view of all of the circumstances of the case, such person is fairly and reasonably entitled to indemnity for such expenses which the Delaware Court of Chancery or such other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The Company’s seventh amended and restated certificate of incorporation and second amended and restated bylaws provide that indemnification shall be to the fullest extent permitted by the DGCL for all current or former directors or officers. As permitted by the DGCL, the seventh amended and restated certificate of incorporation provides that directors of Lexicon shall have no personal liability to Lexicon or its stockholders for monetary damages for breach of fiduciary duty as a director, except (a) for any breach of the director’s duty of loyalty to Lexicon or its stockholders, (b) for acts or omissions not in good faith or which involve intentional misconduct or knowing violation of law, (c) under Section 174 of the DGCL or (d) for any transaction from which a director derived an improper personal benefit.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has entered into indemnification agreements with each of its officers and directors. These agreements, among other things, require Lexicon to indemnify each officer and director for all expenses, including attorneys’ fees, liabilities, judgments, fines, penalties, excise taxes and settlement amounts incurred by any such person in any claim, action, suit or proceeding, including any action by or in the right of Lexicon, arising out of the person’s services as a director, officer, employee, agent or fiduciary to Lexicon, any subsidiary of Lexicon or to any other company or enterprise for which the person provides services at Lexicon’s request.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16.</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b/>
                <w:i/>
                <w:sz w:val="20"/>
              </w:rPr>
              <w:t>Exhibits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documents are filed as exhibits to this registration statement, including those exhibits incorporated herein by reference to a prior filing of Lexicon Pharmaceuticals, Inc. under the Securities Act or the Exchange Act as indicated in parentheses: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4"/>
        <w:gridCol w:w="600"/>
        <w:gridCol w:w="8931"/>
      </w:tblGrid>
      <w:tr>
        <w:trPr/>
        <w:tc>
          <w:tcPr>
            <w:tcW w:w="674" w:type="dxa"/>
            <w:tcBorders/>
            <w:vAlign w:val="center"/>
          </w:tcPr>
          <w:p>
            <w:pPr>
              <w:pStyle w:val="TableContents"/>
              <w:bidi w:val="0"/>
              <w:spacing w:before="0" w:after="283"/>
              <w:jc w:val="left"/>
              <w:rPr>
                <w:sz w:val="4"/>
                <w:szCs w:val="4"/>
              </w:rPr>
            </w:pPr>
            <w:r>
              <w:rPr>
                <w:sz w:val="4"/>
                <w:szCs w:val="4"/>
              </w:rPr>
            </w:r>
          </w:p>
        </w:tc>
        <w:tc>
          <w:tcPr>
            <w:tcW w:w="600" w:type="dxa"/>
            <w:tcBorders/>
            <w:vAlign w:val="bottom"/>
          </w:tcPr>
          <w:p>
            <w:pPr>
              <w:pStyle w:val="TableContents"/>
              <w:bidi w:val="0"/>
              <w:spacing w:before="0" w:after="283"/>
              <w:jc w:val="left"/>
              <w:rPr>
                <w:sz w:val="4"/>
                <w:szCs w:val="4"/>
              </w:rPr>
            </w:pPr>
            <w:r>
              <w:rPr>
                <w:sz w:val="4"/>
                <w:szCs w:val="4"/>
              </w:rPr>
            </w:r>
          </w:p>
        </w:tc>
        <w:tc>
          <w:tcPr>
            <w:tcW w:w="8931" w:type="dxa"/>
            <w:tcBorders/>
            <w:vAlign w:val="center"/>
          </w:tcPr>
          <w:p>
            <w:pPr>
              <w:pStyle w:val="TableContents"/>
              <w:bidi w:val="0"/>
              <w:spacing w:before="0" w:after="283"/>
              <w:jc w:val="left"/>
              <w:rPr>
                <w:sz w:val="4"/>
                <w:szCs w:val="4"/>
              </w:rPr>
            </w:pPr>
            <w:r>
              <w:rPr>
                <w:sz w:val="4"/>
                <w:szCs w:val="4"/>
              </w:rPr>
            </w:r>
          </w:p>
        </w:tc>
      </w:tr>
      <w:tr>
        <w:trPr/>
        <w:tc>
          <w:tcPr>
            <w:tcW w:w="674" w:type="dxa"/>
            <w:tcBorders/>
            <w:vAlign w:val="bottom"/>
          </w:tcPr>
          <w:p>
            <w:pPr>
              <w:pStyle w:val="TableContents"/>
              <w:pBdr>
                <w:bottom w:val="single" w:sz="8" w:space="1" w:color="000000"/>
              </w:pBdr>
              <w:bidi w:val="0"/>
              <w:spacing w:before="0" w:after="0"/>
              <w:jc w:val="left"/>
              <w:rPr>
                <w:rFonts w:ascii="Times New Roman" w:hAnsi="Times New Roman"/>
                <w:b/>
                <w:sz w:val="18"/>
              </w:rPr>
            </w:pPr>
            <w:r>
              <w:rPr>
                <w:rFonts w:ascii="Times New Roman" w:hAnsi="Times New Roman"/>
                <w:b/>
                <w:sz w:val="18"/>
              </w:rPr>
              <w:t>Exhibit</w:t>
              <w:br/>
              <w:t>Number</w:t>
            </w:r>
          </w:p>
        </w:tc>
        <w:tc>
          <w:tcPr>
            <w:tcW w:w="600" w:type="dxa"/>
            <w:tcBorders/>
            <w:vAlign w:val="bottom"/>
          </w:tcPr>
          <w:p>
            <w:pPr>
              <w:pStyle w:val="TableContents"/>
              <w:bidi w:val="0"/>
              <w:spacing w:before="0" w:after="283"/>
              <w:jc w:val="left"/>
              <w:rPr/>
            </w:pPr>
            <w:r>
              <w:rPr/>
              <w:t>  </w:t>
            </w:r>
          </w:p>
        </w:tc>
        <w:tc>
          <w:tcPr>
            <w:tcW w:w="893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8"/>
              </w:rPr>
            </w:pPr>
            <w:r>
              <w:rPr>
                <w:rFonts w:ascii="Times New Roman" w:hAnsi="Times New Roman"/>
                <w:b/>
                <w:sz w:val="18"/>
              </w:rPr>
              <w:t>Exhibit</w:t>
            </w:r>
          </w:p>
        </w:tc>
      </w:tr>
      <w:tr>
        <w:trPr>
          <w:trHeight w:val="120" w:hRule="atLeast"/>
        </w:trPr>
        <w:tc>
          <w:tcPr>
            <w:tcW w:w="674" w:type="dxa"/>
            <w:tcBorders/>
            <w:vAlign w:val="center"/>
          </w:tcPr>
          <w:p>
            <w:pPr>
              <w:pStyle w:val="TableContents"/>
              <w:bidi w:val="0"/>
              <w:spacing w:before="0" w:after="283"/>
              <w:jc w:val="left"/>
              <w:rPr>
                <w:sz w:val="4"/>
                <w:szCs w:val="4"/>
              </w:rPr>
            </w:pPr>
            <w:r>
              <w:rPr>
                <w:sz w:val="4"/>
                <w:szCs w:val="4"/>
              </w:rPr>
            </w:r>
          </w:p>
        </w:tc>
        <w:tc>
          <w:tcPr>
            <w:tcW w:w="9531" w:type="dxa"/>
            <w:gridSpan w:val="2"/>
            <w:tcBorders/>
            <w:vAlign w:val="center"/>
          </w:tcPr>
          <w:p>
            <w:pPr>
              <w:pStyle w:val="TableContents"/>
              <w:bidi w:val="0"/>
              <w:spacing w:before="0" w:after="283"/>
              <w:jc w:val="left"/>
              <w:rPr>
                <w:sz w:val="4"/>
                <w:szCs w:val="4"/>
              </w:rPr>
            </w:pPr>
            <w:r>
              <w:rPr>
                <w:sz w:val="4"/>
                <w:szCs w:val="4"/>
              </w:rPr>
            </w:r>
          </w:p>
        </w:tc>
      </w:tr>
      <w:tr>
        <w:trPr/>
        <w:tc>
          <w:tcPr>
            <w:tcW w:w="674" w:type="dxa"/>
            <w:tcBorders/>
          </w:tcPr>
          <w:p>
            <w:pPr>
              <w:pStyle w:val="TableContents"/>
              <w:bidi w:val="0"/>
              <w:spacing w:before="0" w:after="283"/>
              <w:jc w:val="left"/>
              <w:rPr/>
            </w:pPr>
            <w:r>
              <w:rPr/>
              <w:t>3.1</w:t>
            </w:r>
          </w:p>
        </w:tc>
        <w:tc>
          <w:tcPr>
            <w:tcW w:w="600"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hyperlink r:id="rId13">
              <w:r>
                <w:rPr>
                  <w:rStyle w:val="InternetLink"/>
                </w:rPr>
                <w:t xml:space="preserve">Seventh Amended and Restated Certificate of Incorporation (filed as Exhibit 3.1 to the Company’s Current Report on Form 8-K dated April 30, 2026 and incorporated by reference herein). </w:t>
              </w:r>
            </w:hyperlink>
          </w:p>
        </w:tc>
      </w:tr>
      <w:tr>
        <w:trPr>
          <w:trHeight w:val="120" w:hRule="atLeast"/>
        </w:trPr>
        <w:tc>
          <w:tcPr>
            <w:tcW w:w="674" w:type="dxa"/>
            <w:tcBorders/>
            <w:vAlign w:val="center"/>
          </w:tcPr>
          <w:p>
            <w:pPr>
              <w:pStyle w:val="TableContents"/>
              <w:bidi w:val="0"/>
              <w:spacing w:before="0" w:after="283"/>
              <w:jc w:val="left"/>
              <w:rPr>
                <w:sz w:val="4"/>
                <w:szCs w:val="4"/>
              </w:rPr>
            </w:pPr>
            <w:r>
              <w:rPr>
                <w:sz w:val="4"/>
                <w:szCs w:val="4"/>
              </w:rPr>
            </w:r>
          </w:p>
        </w:tc>
        <w:tc>
          <w:tcPr>
            <w:tcW w:w="9531" w:type="dxa"/>
            <w:gridSpan w:val="2"/>
            <w:tcBorders/>
            <w:vAlign w:val="center"/>
          </w:tcPr>
          <w:p>
            <w:pPr>
              <w:pStyle w:val="TableContents"/>
              <w:bidi w:val="0"/>
              <w:spacing w:before="0" w:after="283"/>
              <w:jc w:val="left"/>
              <w:rPr>
                <w:sz w:val="4"/>
                <w:szCs w:val="4"/>
              </w:rPr>
            </w:pPr>
            <w:r>
              <w:rPr>
                <w:sz w:val="4"/>
                <w:szCs w:val="4"/>
              </w:rPr>
            </w:r>
          </w:p>
        </w:tc>
      </w:tr>
      <w:tr>
        <w:trPr/>
        <w:tc>
          <w:tcPr>
            <w:tcW w:w="674" w:type="dxa"/>
            <w:tcBorders/>
          </w:tcPr>
          <w:p>
            <w:pPr>
              <w:pStyle w:val="TableContents"/>
              <w:bidi w:val="0"/>
              <w:spacing w:before="0" w:after="283"/>
              <w:jc w:val="left"/>
              <w:rPr/>
            </w:pPr>
            <w:r>
              <w:rPr/>
              <w:t>3.2</w:t>
            </w:r>
          </w:p>
        </w:tc>
        <w:tc>
          <w:tcPr>
            <w:tcW w:w="600"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hyperlink r:id="rId14">
              <w:r>
                <w:rPr>
                  <w:rStyle w:val="InternetLink"/>
                </w:rPr>
                <w:t xml:space="preserve">Second Amended and Restated Bylaws (filed as Exhibit 3.2 to the Company’s Current Report on Form 8-K dated April 26, 2012 and incorporated by reference herein). </w:t>
              </w:r>
            </w:hyperlink>
          </w:p>
        </w:tc>
      </w:tr>
      <w:tr>
        <w:trPr>
          <w:trHeight w:val="120" w:hRule="atLeast"/>
        </w:trPr>
        <w:tc>
          <w:tcPr>
            <w:tcW w:w="674" w:type="dxa"/>
            <w:tcBorders/>
            <w:vAlign w:val="center"/>
          </w:tcPr>
          <w:p>
            <w:pPr>
              <w:pStyle w:val="TableContents"/>
              <w:bidi w:val="0"/>
              <w:spacing w:before="0" w:after="283"/>
              <w:jc w:val="left"/>
              <w:rPr>
                <w:sz w:val="4"/>
                <w:szCs w:val="4"/>
              </w:rPr>
            </w:pPr>
            <w:r>
              <w:rPr>
                <w:sz w:val="4"/>
                <w:szCs w:val="4"/>
              </w:rPr>
            </w:r>
          </w:p>
        </w:tc>
        <w:tc>
          <w:tcPr>
            <w:tcW w:w="9531" w:type="dxa"/>
            <w:gridSpan w:val="2"/>
            <w:tcBorders/>
            <w:vAlign w:val="center"/>
          </w:tcPr>
          <w:p>
            <w:pPr>
              <w:pStyle w:val="TableContents"/>
              <w:bidi w:val="0"/>
              <w:spacing w:before="0" w:after="283"/>
              <w:jc w:val="left"/>
              <w:rPr>
                <w:sz w:val="4"/>
                <w:szCs w:val="4"/>
              </w:rPr>
            </w:pPr>
            <w:r>
              <w:rPr>
                <w:sz w:val="4"/>
                <w:szCs w:val="4"/>
              </w:rPr>
            </w:r>
          </w:p>
        </w:tc>
      </w:tr>
      <w:tr>
        <w:trPr/>
        <w:tc>
          <w:tcPr>
            <w:tcW w:w="674" w:type="dxa"/>
            <w:tcBorders/>
          </w:tcPr>
          <w:p>
            <w:pPr>
              <w:pStyle w:val="TableContents"/>
              <w:bidi w:val="0"/>
              <w:spacing w:before="0" w:after="283"/>
              <w:jc w:val="left"/>
              <w:rPr/>
            </w:pPr>
            <w:r>
              <w:rPr/>
              <w:t>4.1</w:t>
            </w:r>
          </w:p>
        </w:tc>
        <w:tc>
          <w:tcPr>
            <w:tcW w:w="600"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hyperlink r:id="rId15">
              <w:r>
                <w:rPr>
                  <w:rStyle w:val="InternetLink"/>
                </w:rPr>
                <w:t xml:space="preserve">Form of Warrant Agreement (filed as Exhibit 4.1 to the Company’s Quarterly Report on Form 10-Q dated August 6, 2026 and incorporated by reference herein). </w:t>
              </w:r>
            </w:hyperlink>
          </w:p>
        </w:tc>
      </w:tr>
      <w:tr>
        <w:trPr>
          <w:trHeight w:val="120" w:hRule="atLeast"/>
        </w:trPr>
        <w:tc>
          <w:tcPr>
            <w:tcW w:w="674" w:type="dxa"/>
            <w:tcBorders/>
            <w:vAlign w:val="center"/>
          </w:tcPr>
          <w:p>
            <w:pPr>
              <w:pStyle w:val="TableContents"/>
              <w:bidi w:val="0"/>
              <w:spacing w:before="0" w:after="283"/>
              <w:jc w:val="left"/>
              <w:rPr>
                <w:sz w:val="4"/>
                <w:szCs w:val="4"/>
              </w:rPr>
            </w:pPr>
            <w:r>
              <w:rPr>
                <w:sz w:val="4"/>
                <w:szCs w:val="4"/>
              </w:rPr>
            </w:r>
          </w:p>
        </w:tc>
        <w:tc>
          <w:tcPr>
            <w:tcW w:w="9531" w:type="dxa"/>
            <w:gridSpan w:val="2"/>
            <w:tcBorders/>
            <w:vAlign w:val="center"/>
          </w:tcPr>
          <w:p>
            <w:pPr>
              <w:pStyle w:val="TableContents"/>
              <w:bidi w:val="0"/>
              <w:spacing w:before="0" w:after="283"/>
              <w:jc w:val="left"/>
              <w:rPr>
                <w:sz w:val="4"/>
                <w:szCs w:val="4"/>
              </w:rPr>
            </w:pPr>
            <w:r>
              <w:rPr>
                <w:sz w:val="4"/>
                <w:szCs w:val="4"/>
              </w:rPr>
            </w:r>
          </w:p>
        </w:tc>
      </w:tr>
      <w:tr>
        <w:trPr/>
        <w:tc>
          <w:tcPr>
            <w:tcW w:w="674" w:type="dxa"/>
            <w:tcBorders/>
          </w:tcPr>
          <w:p>
            <w:pPr>
              <w:pStyle w:val="TableContents"/>
              <w:bidi w:val="0"/>
              <w:spacing w:before="0" w:after="283"/>
              <w:jc w:val="left"/>
              <w:rPr/>
            </w:pPr>
            <w:r>
              <w:rPr/>
              <w:t>5.1*</w:t>
            </w:r>
          </w:p>
        </w:tc>
        <w:tc>
          <w:tcPr>
            <w:tcW w:w="600"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hyperlink w:anchor="d140435dex51.htm">
              <w:r>
                <w:rPr>
                  <w:rStyle w:val="InternetLink"/>
                </w:rPr>
                <w:t xml:space="preserve">Opinion of Vinson &amp; Elkins L.L.P. as to the legality of the securities being registered. </w:t>
              </w:r>
            </w:hyperlink>
          </w:p>
        </w:tc>
      </w:tr>
      <w:tr>
        <w:trPr>
          <w:trHeight w:val="120" w:hRule="atLeast"/>
        </w:trPr>
        <w:tc>
          <w:tcPr>
            <w:tcW w:w="674" w:type="dxa"/>
            <w:tcBorders/>
            <w:vAlign w:val="center"/>
          </w:tcPr>
          <w:p>
            <w:pPr>
              <w:pStyle w:val="TableContents"/>
              <w:bidi w:val="0"/>
              <w:spacing w:before="0" w:after="283"/>
              <w:jc w:val="left"/>
              <w:rPr>
                <w:sz w:val="4"/>
                <w:szCs w:val="4"/>
              </w:rPr>
            </w:pPr>
            <w:r>
              <w:rPr>
                <w:sz w:val="4"/>
                <w:szCs w:val="4"/>
              </w:rPr>
            </w:r>
          </w:p>
        </w:tc>
        <w:tc>
          <w:tcPr>
            <w:tcW w:w="9531" w:type="dxa"/>
            <w:gridSpan w:val="2"/>
            <w:tcBorders/>
            <w:vAlign w:val="center"/>
          </w:tcPr>
          <w:p>
            <w:pPr>
              <w:pStyle w:val="TableContents"/>
              <w:bidi w:val="0"/>
              <w:spacing w:before="0" w:after="283"/>
              <w:jc w:val="left"/>
              <w:rPr>
                <w:sz w:val="4"/>
                <w:szCs w:val="4"/>
              </w:rPr>
            </w:pPr>
            <w:r>
              <w:rPr>
                <w:sz w:val="4"/>
                <w:szCs w:val="4"/>
              </w:rPr>
            </w:r>
          </w:p>
        </w:tc>
      </w:tr>
      <w:tr>
        <w:trPr/>
        <w:tc>
          <w:tcPr>
            <w:tcW w:w="674" w:type="dxa"/>
            <w:tcBorders/>
          </w:tcPr>
          <w:p>
            <w:pPr>
              <w:pStyle w:val="TableContents"/>
              <w:bidi w:val="0"/>
              <w:spacing w:before="0" w:after="283"/>
              <w:jc w:val="left"/>
              <w:rPr/>
            </w:pPr>
            <w:r>
              <w:rPr/>
              <w:t>10.1</w:t>
            </w:r>
          </w:p>
        </w:tc>
        <w:tc>
          <w:tcPr>
            <w:tcW w:w="600"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hyperlink r:id="rId16">
              <w:r>
                <w:rPr>
                  <w:rStyle w:val="InternetLink"/>
                </w:rPr>
                <w:t xml:space="preserve">Loan and Security Agreement, dated as of May  4, 2026, by and among Lexicon Pharmaceuticals, Inc., Lexicon Pharmaceuticals (New Jersey), Inc., Lion Acquisition Corporation, each Person that has delivered a Joinder Agreement from time to time party thereto, the several banks and other financial institutions or entities from time to time party thereto and Hercules Capital, Inc. (filed as Exhibit 10.1 to the Company’s Quarterly Report on Form 10-Q dated August 6, 2026 and incorporated by reference herein). </w:t>
              </w:r>
            </w:hyperlink>
          </w:p>
        </w:tc>
      </w:tr>
      <w:tr>
        <w:trPr>
          <w:trHeight w:val="120" w:hRule="atLeast"/>
        </w:trPr>
        <w:tc>
          <w:tcPr>
            <w:tcW w:w="674" w:type="dxa"/>
            <w:tcBorders/>
            <w:vAlign w:val="center"/>
          </w:tcPr>
          <w:p>
            <w:pPr>
              <w:pStyle w:val="TableContents"/>
              <w:bidi w:val="0"/>
              <w:spacing w:before="0" w:after="283"/>
              <w:jc w:val="left"/>
              <w:rPr>
                <w:sz w:val="4"/>
                <w:szCs w:val="4"/>
              </w:rPr>
            </w:pPr>
            <w:r>
              <w:rPr>
                <w:sz w:val="4"/>
                <w:szCs w:val="4"/>
              </w:rPr>
            </w:r>
          </w:p>
        </w:tc>
        <w:tc>
          <w:tcPr>
            <w:tcW w:w="9531" w:type="dxa"/>
            <w:gridSpan w:val="2"/>
            <w:tcBorders/>
            <w:vAlign w:val="center"/>
          </w:tcPr>
          <w:p>
            <w:pPr>
              <w:pStyle w:val="TableContents"/>
              <w:bidi w:val="0"/>
              <w:spacing w:before="0" w:after="283"/>
              <w:jc w:val="left"/>
              <w:rPr>
                <w:sz w:val="4"/>
                <w:szCs w:val="4"/>
              </w:rPr>
            </w:pPr>
            <w:r>
              <w:rPr>
                <w:sz w:val="4"/>
                <w:szCs w:val="4"/>
              </w:rPr>
            </w:r>
          </w:p>
        </w:tc>
      </w:tr>
      <w:tr>
        <w:trPr/>
        <w:tc>
          <w:tcPr>
            <w:tcW w:w="674" w:type="dxa"/>
            <w:tcBorders/>
          </w:tcPr>
          <w:p>
            <w:pPr>
              <w:pStyle w:val="TableContents"/>
              <w:bidi w:val="0"/>
              <w:spacing w:before="0" w:after="283"/>
              <w:jc w:val="left"/>
              <w:rPr/>
            </w:pPr>
            <w:r>
              <w:rPr/>
              <w:t>23.1*</w:t>
            </w:r>
          </w:p>
        </w:tc>
        <w:tc>
          <w:tcPr>
            <w:tcW w:w="600"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hyperlink w:anchor="d140435dex231.htm">
              <w:r>
                <w:rPr>
                  <w:rStyle w:val="InternetLink"/>
                </w:rPr>
                <w:t xml:space="preserve">Consent of Ernst &amp; Young LLP. </w:t>
              </w:r>
            </w:hyperlink>
          </w:p>
        </w:tc>
      </w:tr>
      <w:tr>
        <w:trPr>
          <w:trHeight w:val="120" w:hRule="atLeast"/>
        </w:trPr>
        <w:tc>
          <w:tcPr>
            <w:tcW w:w="674" w:type="dxa"/>
            <w:tcBorders/>
            <w:vAlign w:val="center"/>
          </w:tcPr>
          <w:p>
            <w:pPr>
              <w:pStyle w:val="TableContents"/>
              <w:bidi w:val="0"/>
              <w:spacing w:before="0" w:after="283"/>
              <w:jc w:val="left"/>
              <w:rPr>
                <w:sz w:val="4"/>
                <w:szCs w:val="4"/>
              </w:rPr>
            </w:pPr>
            <w:r>
              <w:rPr>
                <w:sz w:val="4"/>
                <w:szCs w:val="4"/>
              </w:rPr>
            </w:r>
          </w:p>
        </w:tc>
        <w:tc>
          <w:tcPr>
            <w:tcW w:w="9531" w:type="dxa"/>
            <w:gridSpan w:val="2"/>
            <w:tcBorders/>
            <w:vAlign w:val="center"/>
          </w:tcPr>
          <w:p>
            <w:pPr>
              <w:pStyle w:val="TableContents"/>
              <w:bidi w:val="0"/>
              <w:spacing w:before="0" w:after="283"/>
              <w:jc w:val="left"/>
              <w:rPr>
                <w:sz w:val="4"/>
                <w:szCs w:val="4"/>
              </w:rPr>
            </w:pPr>
            <w:r>
              <w:rPr>
                <w:sz w:val="4"/>
                <w:szCs w:val="4"/>
              </w:rPr>
            </w:r>
          </w:p>
        </w:tc>
      </w:tr>
      <w:tr>
        <w:trPr/>
        <w:tc>
          <w:tcPr>
            <w:tcW w:w="674" w:type="dxa"/>
            <w:tcBorders/>
          </w:tcPr>
          <w:p>
            <w:pPr>
              <w:pStyle w:val="TableContents"/>
              <w:bidi w:val="0"/>
              <w:spacing w:before="0" w:after="283"/>
              <w:jc w:val="left"/>
              <w:rPr/>
            </w:pPr>
            <w:r>
              <w:rPr/>
              <w:t>23.2*</w:t>
            </w:r>
          </w:p>
        </w:tc>
        <w:tc>
          <w:tcPr>
            <w:tcW w:w="600"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hyperlink w:anchor="d140435dex51.htm">
              <w:r>
                <w:rPr>
                  <w:rStyle w:val="InternetLink"/>
                </w:rPr>
                <w:t xml:space="preserve">Consent of Vinson &amp; Elkins L.L.P. (included in Exhibit 5.1). </w:t>
              </w:r>
            </w:hyperlink>
          </w:p>
        </w:tc>
      </w:tr>
      <w:tr>
        <w:trPr>
          <w:trHeight w:val="120" w:hRule="atLeast"/>
        </w:trPr>
        <w:tc>
          <w:tcPr>
            <w:tcW w:w="674" w:type="dxa"/>
            <w:tcBorders/>
            <w:vAlign w:val="center"/>
          </w:tcPr>
          <w:p>
            <w:pPr>
              <w:pStyle w:val="TableContents"/>
              <w:bidi w:val="0"/>
              <w:spacing w:before="0" w:after="283"/>
              <w:jc w:val="left"/>
              <w:rPr>
                <w:sz w:val="4"/>
                <w:szCs w:val="4"/>
              </w:rPr>
            </w:pPr>
            <w:r>
              <w:rPr>
                <w:sz w:val="4"/>
                <w:szCs w:val="4"/>
              </w:rPr>
            </w:r>
          </w:p>
        </w:tc>
        <w:tc>
          <w:tcPr>
            <w:tcW w:w="9531" w:type="dxa"/>
            <w:gridSpan w:val="2"/>
            <w:tcBorders/>
            <w:vAlign w:val="center"/>
          </w:tcPr>
          <w:p>
            <w:pPr>
              <w:pStyle w:val="TableContents"/>
              <w:bidi w:val="0"/>
              <w:spacing w:before="0" w:after="283"/>
              <w:jc w:val="left"/>
              <w:rPr>
                <w:sz w:val="4"/>
                <w:szCs w:val="4"/>
              </w:rPr>
            </w:pPr>
            <w:r>
              <w:rPr>
                <w:sz w:val="4"/>
                <w:szCs w:val="4"/>
              </w:rPr>
            </w:r>
          </w:p>
        </w:tc>
      </w:tr>
      <w:tr>
        <w:trPr/>
        <w:tc>
          <w:tcPr>
            <w:tcW w:w="674" w:type="dxa"/>
            <w:tcBorders/>
          </w:tcPr>
          <w:p>
            <w:pPr>
              <w:pStyle w:val="TableContents"/>
              <w:bidi w:val="0"/>
              <w:spacing w:before="0" w:after="283"/>
              <w:jc w:val="left"/>
              <w:rPr/>
            </w:pPr>
            <w:r>
              <w:rPr/>
              <w:t>24.1*</w:t>
            </w:r>
          </w:p>
        </w:tc>
        <w:tc>
          <w:tcPr>
            <w:tcW w:w="600"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hyperlink w:anchor="sig">
              <w:r>
                <w:rPr>
                  <w:rStyle w:val="InternetLink"/>
                </w:rPr>
                <w:t xml:space="preserve">Power of Attorney (contained in signature page). </w:t>
              </w:r>
            </w:hyperlink>
          </w:p>
        </w:tc>
      </w:tr>
      <w:tr>
        <w:trPr>
          <w:trHeight w:val="120" w:hRule="atLeast"/>
        </w:trPr>
        <w:tc>
          <w:tcPr>
            <w:tcW w:w="674" w:type="dxa"/>
            <w:tcBorders/>
            <w:vAlign w:val="center"/>
          </w:tcPr>
          <w:p>
            <w:pPr>
              <w:pStyle w:val="TableContents"/>
              <w:bidi w:val="0"/>
              <w:spacing w:before="0" w:after="283"/>
              <w:jc w:val="left"/>
              <w:rPr>
                <w:sz w:val="4"/>
                <w:szCs w:val="4"/>
              </w:rPr>
            </w:pPr>
            <w:r>
              <w:rPr>
                <w:sz w:val="4"/>
                <w:szCs w:val="4"/>
              </w:rPr>
            </w:r>
          </w:p>
        </w:tc>
        <w:tc>
          <w:tcPr>
            <w:tcW w:w="9531" w:type="dxa"/>
            <w:gridSpan w:val="2"/>
            <w:tcBorders/>
            <w:vAlign w:val="center"/>
          </w:tcPr>
          <w:p>
            <w:pPr>
              <w:pStyle w:val="TableContents"/>
              <w:bidi w:val="0"/>
              <w:spacing w:before="0" w:after="283"/>
              <w:jc w:val="left"/>
              <w:rPr>
                <w:sz w:val="4"/>
                <w:szCs w:val="4"/>
              </w:rPr>
            </w:pPr>
            <w:r>
              <w:rPr>
                <w:sz w:val="4"/>
                <w:szCs w:val="4"/>
              </w:rPr>
            </w:r>
          </w:p>
        </w:tc>
      </w:tr>
      <w:tr>
        <w:trPr/>
        <w:tc>
          <w:tcPr>
            <w:tcW w:w="674" w:type="dxa"/>
            <w:tcBorders/>
          </w:tcPr>
          <w:p>
            <w:pPr>
              <w:pStyle w:val="TableContents"/>
              <w:bidi w:val="0"/>
              <w:spacing w:before="0" w:after="283"/>
              <w:jc w:val="left"/>
              <w:rPr/>
            </w:pPr>
            <w:r>
              <w:rPr/>
              <w:t>107*</w:t>
            </w:r>
          </w:p>
        </w:tc>
        <w:tc>
          <w:tcPr>
            <w:tcW w:w="600"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hyperlink w:anchor="d140435dexfilingfees.htm">
              <w:r>
                <w:rPr>
                  <w:rStyle w:val="InternetLink"/>
                </w:rPr>
                <w:t xml:space="preserve">Filing Fee Table. </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17.</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b/>
                <w:i/>
                <w:sz w:val="20"/>
              </w:rPr>
              <w:t>Undertakings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of 1933, as amended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this registration statement or any material change to such information in this registration statement; </w:t>
            </w:r>
          </w:p>
        </w:tc>
      </w:tr>
    </w:tbl>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(a)(i), (a)(ii) and (a)(iii) do not apply if the information required to be included in a post-effective amendment by those paragraphs is contained in reports filed with or furnished to the SEC by the Registrant pursuant to Section 13 or 15(d) of the Exchange Act that are incorporated by reference in this registration statement, or is contained in a form of prospectus filed pursuant to Rule 424(b) that is part of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to any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the time shall be deemed to be the initial bona fide offering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provisions described in Item 15,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ig"/>
      <w:bookmarkEnd w:id="15"/>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The Woodlands, in the State of Texas, on August 6,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9"/>
        <w:gridCol w:w="60"/>
        <w:gridCol w:w="3633"/>
      </w:tblGrid>
      <w:tr>
        <w:trPr/>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LEXICON PHARMACEUTICALS, INC.</w:t>
            </w:r>
          </w:p>
        </w:tc>
      </w:tr>
      <w:tr>
        <w:trPr>
          <w:trHeight w:val="240" w:hRule="atLeast"/>
        </w:trPr>
        <w:tc>
          <w:tcPr>
            <w:tcW w:w="389" w:type="dxa"/>
            <w:tcBorders/>
            <w:vAlign w:val="center"/>
          </w:tcPr>
          <w:p>
            <w:pPr>
              <w:pStyle w:val="TableContents"/>
              <w:bidi w:val="0"/>
              <w:spacing w:before="0" w:after="283"/>
              <w:jc w:val="left"/>
              <w:rPr>
                <w:sz w:val="4"/>
                <w:szCs w:val="4"/>
              </w:rPr>
            </w:pPr>
            <w:r>
              <w:rPr>
                <w:sz w:val="4"/>
                <w:szCs w:val="4"/>
              </w:rPr>
            </w:r>
          </w:p>
        </w:tc>
        <w:tc>
          <w:tcPr>
            <w:tcW w:w="3693" w:type="dxa"/>
            <w:gridSpan w:val="2"/>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3" w:type="dxa"/>
            <w:tcBorders>
              <w:bottom w:val="single" w:sz="2" w:space="0" w:color="000000"/>
            </w:tcBorders>
            <w:tcMar>
              <w:bottom w:w="28" w:type="dxa"/>
            </w:tcMar>
          </w:tcPr>
          <w:p>
            <w:pPr>
              <w:pStyle w:val="TableContents"/>
              <w:bidi w:val="0"/>
              <w:spacing w:before="0" w:after="283"/>
              <w:jc w:val="left"/>
              <w:rPr/>
            </w:pPr>
            <w:r>
              <w:rPr/>
              <w:t>/s/ Michael S. Exton</w:t>
            </w:r>
          </w:p>
        </w:tc>
      </w:tr>
      <w:tr>
        <w:trPr/>
        <w:tc>
          <w:tcPr>
            <w:tcW w:w="38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3" w:type="dxa"/>
            <w:tcBorders/>
            <w:vAlign w:val="bottom"/>
          </w:tcPr>
          <w:p>
            <w:pPr>
              <w:pStyle w:val="TableContents"/>
              <w:bidi w:val="0"/>
              <w:spacing w:before="0" w:after="283"/>
              <w:jc w:val="left"/>
              <w:rPr/>
            </w:pPr>
            <w:r>
              <w:rPr/>
              <w:t>Michael S. Exton, Ph.D.</w:t>
            </w:r>
          </w:p>
        </w:tc>
      </w:tr>
      <w:tr>
        <w:trPr/>
        <w:tc>
          <w:tcPr>
            <w:tcW w:w="38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3" w:type="dxa"/>
            <w:tcBorders/>
            <w:vAlign w:val="bottom"/>
          </w:tcPr>
          <w:p>
            <w:pPr>
              <w:pStyle w:val="TableContents"/>
              <w:bidi w:val="0"/>
              <w:spacing w:before="0" w:after="283"/>
              <w:jc w:val="left"/>
              <w:rPr>
                <w:i/>
              </w:rPr>
            </w:pPr>
            <w:r>
              <w:rPr>
                <w:i/>
              </w:rPr>
              <w:t>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person whose signature appears below appoints Michael S. Exton, Ph.D. and Scott M. Coiante, and each of them, any of whom may act without the joinder of the other, as his or her true and lawful attorneys-in-fact and agents, with full power of substitution and resubstitution, for him or her and in his name, place and stead, in any and all capacities, to sign any and all amendments (including post-effective amendments) to this Registration Statement and any Registration Statement (including any amendment thereto) for this offering that is to be effective upon filing pursuant to Rule 462(b) under the Securities Act of 1933, as amended, and to file the same, with all exhibits thereto, and all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or she might or would do in person, hereby ratifying and confirming all that said attorneys-in-fact and agents or any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below by the following persons in the capacities indicated below as of August 6,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644"/>
        <w:gridCol w:w="208"/>
        <w:gridCol w:w="6353"/>
      </w:tblGrid>
      <w:tr>
        <w:trPr/>
        <w:tc>
          <w:tcPr>
            <w:tcW w:w="3644"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635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r>
      <w:tr>
        <w:trPr>
          <w:trHeight w:val="240" w:hRule="atLeast"/>
        </w:trPr>
        <w:tc>
          <w:tcPr>
            <w:tcW w:w="3644" w:type="dxa"/>
            <w:tcBorders/>
            <w:vAlign w:val="center"/>
          </w:tcPr>
          <w:p>
            <w:pPr>
              <w:pStyle w:val="TableContents"/>
              <w:bidi w:val="0"/>
              <w:spacing w:before="0" w:after="283"/>
              <w:jc w:val="left"/>
              <w:rPr>
                <w:sz w:val="4"/>
                <w:szCs w:val="4"/>
              </w:rPr>
            </w:pPr>
            <w:r>
              <w:rPr>
                <w:sz w:val="4"/>
                <w:szCs w:val="4"/>
              </w:rPr>
            </w:r>
          </w:p>
        </w:tc>
        <w:tc>
          <w:tcPr>
            <w:tcW w:w="6561" w:type="dxa"/>
            <w:gridSpan w:val="2"/>
            <w:tcBorders/>
            <w:vAlign w:val="center"/>
          </w:tcPr>
          <w:p>
            <w:pPr>
              <w:pStyle w:val="TableContents"/>
              <w:bidi w:val="0"/>
              <w:spacing w:before="0" w:after="283"/>
              <w:jc w:val="left"/>
              <w:rPr>
                <w:sz w:val="4"/>
                <w:szCs w:val="4"/>
              </w:rPr>
            </w:pPr>
            <w:r>
              <w:rPr>
                <w:sz w:val="4"/>
                <w:szCs w:val="4"/>
              </w:rPr>
            </w:r>
          </w:p>
        </w:tc>
      </w:tr>
      <w:tr>
        <w:trPr/>
        <w:tc>
          <w:tcPr>
            <w:tcW w:w="364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Michael S. Exton</w:t>
            </w:r>
          </w:p>
          <w:p>
            <w:pPr>
              <w:pStyle w:val="TableContents"/>
              <w:bidi w:val="0"/>
              <w:spacing w:before="0" w:after="20"/>
              <w:jc w:val="left"/>
              <w:rPr>
                <w:rFonts w:ascii="Times New Roman" w:hAnsi="Times New Roman"/>
                <w:sz w:val="20"/>
              </w:rPr>
            </w:pPr>
            <w:r>
              <w:rPr>
                <w:rFonts w:ascii="Times New Roman" w:hAnsi="Times New Roman"/>
                <w:sz w:val="20"/>
              </w:rPr>
              <w:t>Michael S. Exton, Ph.D.</w:t>
            </w:r>
          </w:p>
        </w:tc>
        <w:tc>
          <w:tcPr>
            <w:tcW w:w="208" w:type="dxa"/>
            <w:tcBorders/>
            <w:vAlign w:val="bottom"/>
          </w:tcPr>
          <w:p>
            <w:pPr>
              <w:pStyle w:val="TableContents"/>
              <w:bidi w:val="0"/>
              <w:spacing w:before="0" w:after="283"/>
              <w:jc w:val="left"/>
              <w:rPr/>
            </w:pPr>
            <w:r>
              <w:rPr/>
              <w:t>  </w:t>
            </w:r>
          </w:p>
        </w:tc>
        <w:tc>
          <w:tcPr>
            <w:tcW w:w="6353" w:type="dxa"/>
            <w:tcBorders/>
          </w:tcPr>
          <w:p>
            <w:pPr>
              <w:pStyle w:val="TableContents"/>
              <w:bidi w:val="0"/>
              <w:spacing w:before="0" w:after="283"/>
              <w:jc w:val="center"/>
              <w:rPr/>
            </w:pPr>
            <w:r>
              <w:rPr/>
              <w:t>Chief Executive Officer and Director (Principal Executive Officer)</w:t>
            </w:r>
          </w:p>
        </w:tc>
      </w:tr>
      <w:tr>
        <w:trPr>
          <w:trHeight w:val="240" w:hRule="atLeast"/>
        </w:trPr>
        <w:tc>
          <w:tcPr>
            <w:tcW w:w="3644" w:type="dxa"/>
            <w:tcBorders/>
            <w:vAlign w:val="center"/>
          </w:tcPr>
          <w:p>
            <w:pPr>
              <w:pStyle w:val="TableContents"/>
              <w:bidi w:val="0"/>
              <w:spacing w:before="0" w:after="283"/>
              <w:jc w:val="left"/>
              <w:rPr>
                <w:sz w:val="4"/>
                <w:szCs w:val="4"/>
              </w:rPr>
            </w:pPr>
            <w:r>
              <w:rPr>
                <w:sz w:val="4"/>
                <w:szCs w:val="4"/>
              </w:rPr>
            </w:r>
          </w:p>
        </w:tc>
        <w:tc>
          <w:tcPr>
            <w:tcW w:w="6561" w:type="dxa"/>
            <w:gridSpan w:val="2"/>
            <w:tcBorders/>
            <w:vAlign w:val="center"/>
          </w:tcPr>
          <w:p>
            <w:pPr>
              <w:pStyle w:val="TableContents"/>
              <w:bidi w:val="0"/>
              <w:spacing w:before="0" w:after="283"/>
              <w:jc w:val="left"/>
              <w:rPr>
                <w:sz w:val="4"/>
                <w:szCs w:val="4"/>
              </w:rPr>
            </w:pPr>
            <w:r>
              <w:rPr>
                <w:sz w:val="4"/>
                <w:szCs w:val="4"/>
              </w:rPr>
            </w:r>
          </w:p>
        </w:tc>
      </w:tr>
      <w:tr>
        <w:trPr/>
        <w:tc>
          <w:tcPr>
            <w:tcW w:w="364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Scott M. Coiante</w:t>
            </w:r>
          </w:p>
          <w:p>
            <w:pPr>
              <w:pStyle w:val="TableContents"/>
              <w:bidi w:val="0"/>
              <w:spacing w:before="0" w:after="20"/>
              <w:jc w:val="left"/>
              <w:rPr>
                <w:rFonts w:ascii="Times New Roman" w:hAnsi="Times New Roman"/>
                <w:sz w:val="20"/>
              </w:rPr>
            </w:pPr>
            <w:r>
              <w:rPr>
                <w:rFonts w:ascii="Times New Roman" w:hAnsi="Times New Roman"/>
                <w:sz w:val="20"/>
              </w:rPr>
              <w:t>Scott M. Coiante</w:t>
            </w:r>
          </w:p>
        </w:tc>
        <w:tc>
          <w:tcPr>
            <w:tcW w:w="208" w:type="dxa"/>
            <w:tcBorders/>
            <w:vAlign w:val="bottom"/>
          </w:tcPr>
          <w:p>
            <w:pPr>
              <w:pStyle w:val="TableContents"/>
              <w:bidi w:val="0"/>
              <w:spacing w:before="0" w:after="283"/>
              <w:jc w:val="left"/>
              <w:rPr/>
            </w:pPr>
            <w:r>
              <w:rPr/>
              <w:t>  </w:t>
            </w:r>
          </w:p>
        </w:tc>
        <w:tc>
          <w:tcPr>
            <w:tcW w:w="6353" w:type="dxa"/>
            <w:tcBorders/>
          </w:tcPr>
          <w:p>
            <w:pPr>
              <w:pStyle w:val="TableContents"/>
              <w:bidi w:val="0"/>
              <w:spacing w:before="0" w:after="283"/>
              <w:jc w:val="center"/>
              <w:rPr/>
            </w:pPr>
            <w:r>
              <w:rPr/>
              <w:t>Senior Vice President and Chief Financial Officer (Principal Financial and Accounting Officer)</w:t>
            </w:r>
          </w:p>
        </w:tc>
      </w:tr>
      <w:tr>
        <w:trPr>
          <w:trHeight w:val="240" w:hRule="atLeast"/>
        </w:trPr>
        <w:tc>
          <w:tcPr>
            <w:tcW w:w="3644" w:type="dxa"/>
            <w:tcBorders/>
            <w:vAlign w:val="center"/>
          </w:tcPr>
          <w:p>
            <w:pPr>
              <w:pStyle w:val="TableContents"/>
              <w:bidi w:val="0"/>
              <w:spacing w:before="0" w:after="283"/>
              <w:jc w:val="left"/>
              <w:rPr>
                <w:sz w:val="4"/>
                <w:szCs w:val="4"/>
              </w:rPr>
            </w:pPr>
            <w:r>
              <w:rPr>
                <w:sz w:val="4"/>
                <w:szCs w:val="4"/>
              </w:rPr>
            </w:r>
          </w:p>
        </w:tc>
        <w:tc>
          <w:tcPr>
            <w:tcW w:w="6561" w:type="dxa"/>
            <w:gridSpan w:val="2"/>
            <w:tcBorders/>
            <w:vAlign w:val="center"/>
          </w:tcPr>
          <w:p>
            <w:pPr>
              <w:pStyle w:val="TableContents"/>
              <w:bidi w:val="0"/>
              <w:spacing w:before="0" w:after="283"/>
              <w:jc w:val="left"/>
              <w:rPr>
                <w:sz w:val="4"/>
                <w:szCs w:val="4"/>
              </w:rPr>
            </w:pPr>
            <w:r>
              <w:rPr>
                <w:sz w:val="4"/>
                <w:szCs w:val="4"/>
              </w:rPr>
            </w:r>
          </w:p>
        </w:tc>
      </w:tr>
      <w:tr>
        <w:trPr/>
        <w:tc>
          <w:tcPr>
            <w:tcW w:w="364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Raymond Debbane</w:t>
            </w:r>
          </w:p>
          <w:p>
            <w:pPr>
              <w:pStyle w:val="TableContents"/>
              <w:bidi w:val="0"/>
              <w:spacing w:before="0" w:after="20"/>
              <w:jc w:val="left"/>
              <w:rPr>
                <w:rFonts w:ascii="Times New Roman" w:hAnsi="Times New Roman"/>
                <w:sz w:val="20"/>
              </w:rPr>
            </w:pPr>
            <w:r>
              <w:rPr>
                <w:rFonts w:ascii="Times New Roman" w:hAnsi="Times New Roman"/>
                <w:sz w:val="20"/>
              </w:rPr>
              <w:t>Raymond Debbane</w:t>
            </w:r>
          </w:p>
        </w:tc>
        <w:tc>
          <w:tcPr>
            <w:tcW w:w="208" w:type="dxa"/>
            <w:tcBorders/>
            <w:vAlign w:val="bottom"/>
          </w:tcPr>
          <w:p>
            <w:pPr>
              <w:pStyle w:val="TableContents"/>
              <w:bidi w:val="0"/>
              <w:spacing w:before="0" w:after="283"/>
              <w:jc w:val="left"/>
              <w:rPr/>
            </w:pPr>
            <w:r>
              <w:rPr/>
              <w:t>  </w:t>
            </w:r>
          </w:p>
        </w:tc>
        <w:tc>
          <w:tcPr>
            <w:tcW w:w="6353" w:type="dxa"/>
            <w:tcBorders/>
          </w:tcPr>
          <w:p>
            <w:pPr>
              <w:pStyle w:val="TableContents"/>
              <w:bidi w:val="0"/>
              <w:spacing w:before="0" w:after="283"/>
              <w:jc w:val="center"/>
              <w:rPr/>
            </w:pPr>
            <w:r>
              <w:rPr/>
              <w:t>Chairman of the Board of Directors</w:t>
            </w:r>
          </w:p>
        </w:tc>
      </w:tr>
      <w:tr>
        <w:trPr>
          <w:trHeight w:val="240" w:hRule="atLeast"/>
        </w:trPr>
        <w:tc>
          <w:tcPr>
            <w:tcW w:w="3644" w:type="dxa"/>
            <w:tcBorders/>
            <w:vAlign w:val="center"/>
          </w:tcPr>
          <w:p>
            <w:pPr>
              <w:pStyle w:val="TableContents"/>
              <w:bidi w:val="0"/>
              <w:spacing w:before="0" w:after="283"/>
              <w:jc w:val="left"/>
              <w:rPr>
                <w:sz w:val="4"/>
                <w:szCs w:val="4"/>
              </w:rPr>
            </w:pPr>
            <w:r>
              <w:rPr>
                <w:sz w:val="4"/>
                <w:szCs w:val="4"/>
              </w:rPr>
            </w:r>
          </w:p>
        </w:tc>
        <w:tc>
          <w:tcPr>
            <w:tcW w:w="6561" w:type="dxa"/>
            <w:gridSpan w:val="2"/>
            <w:tcBorders/>
            <w:vAlign w:val="center"/>
          </w:tcPr>
          <w:p>
            <w:pPr>
              <w:pStyle w:val="TableContents"/>
              <w:bidi w:val="0"/>
              <w:spacing w:before="0" w:after="283"/>
              <w:jc w:val="left"/>
              <w:rPr>
                <w:sz w:val="4"/>
                <w:szCs w:val="4"/>
              </w:rPr>
            </w:pPr>
            <w:r>
              <w:rPr>
                <w:sz w:val="4"/>
                <w:szCs w:val="4"/>
              </w:rPr>
            </w:r>
          </w:p>
        </w:tc>
      </w:tr>
      <w:tr>
        <w:trPr/>
        <w:tc>
          <w:tcPr>
            <w:tcW w:w="364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Philippe J. Amouyal</w:t>
            </w:r>
          </w:p>
          <w:p>
            <w:pPr>
              <w:pStyle w:val="TableContents"/>
              <w:bidi w:val="0"/>
              <w:spacing w:before="0" w:after="20"/>
              <w:jc w:val="left"/>
              <w:rPr>
                <w:rFonts w:ascii="Times New Roman" w:hAnsi="Times New Roman"/>
                <w:sz w:val="20"/>
              </w:rPr>
            </w:pPr>
            <w:r>
              <w:rPr>
                <w:rFonts w:ascii="Times New Roman" w:hAnsi="Times New Roman"/>
                <w:sz w:val="20"/>
              </w:rPr>
              <w:t>Philippe J. Amouyal</w:t>
            </w:r>
          </w:p>
        </w:tc>
        <w:tc>
          <w:tcPr>
            <w:tcW w:w="208" w:type="dxa"/>
            <w:tcBorders/>
            <w:vAlign w:val="bottom"/>
          </w:tcPr>
          <w:p>
            <w:pPr>
              <w:pStyle w:val="TableContents"/>
              <w:bidi w:val="0"/>
              <w:spacing w:before="0" w:after="283"/>
              <w:jc w:val="left"/>
              <w:rPr/>
            </w:pPr>
            <w:r>
              <w:rPr/>
              <w:t>  </w:t>
            </w:r>
          </w:p>
        </w:tc>
        <w:tc>
          <w:tcPr>
            <w:tcW w:w="6353" w:type="dxa"/>
            <w:tcBorders/>
          </w:tcPr>
          <w:p>
            <w:pPr>
              <w:pStyle w:val="TableContents"/>
              <w:bidi w:val="0"/>
              <w:spacing w:before="0" w:after="283"/>
              <w:jc w:val="center"/>
              <w:rPr/>
            </w:pPr>
            <w:r>
              <w:rPr/>
              <w:t>Director</w:t>
            </w:r>
          </w:p>
        </w:tc>
      </w:tr>
      <w:tr>
        <w:trPr>
          <w:trHeight w:val="240" w:hRule="atLeast"/>
        </w:trPr>
        <w:tc>
          <w:tcPr>
            <w:tcW w:w="3644" w:type="dxa"/>
            <w:tcBorders/>
            <w:vAlign w:val="center"/>
          </w:tcPr>
          <w:p>
            <w:pPr>
              <w:pStyle w:val="TableContents"/>
              <w:bidi w:val="0"/>
              <w:spacing w:before="0" w:after="283"/>
              <w:jc w:val="left"/>
              <w:rPr>
                <w:sz w:val="4"/>
                <w:szCs w:val="4"/>
              </w:rPr>
            </w:pPr>
            <w:r>
              <w:rPr>
                <w:sz w:val="4"/>
                <w:szCs w:val="4"/>
              </w:rPr>
            </w:r>
          </w:p>
        </w:tc>
        <w:tc>
          <w:tcPr>
            <w:tcW w:w="6561" w:type="dxa"/>
            <w:gridSpan w:val="2"/>
            <w:tcBorders/>
            <w:vAlign w:val="center"/>
          </w:tcPr>
          <w:p>
            <w:pPr>
              <w:pStyle w:val="TableContents"/>
              <w:bidi w:val="0"/>
              <w:spacing w:before="0" w:after="283"/>
              <w:jc w:val="left"/>
              <w:rPr>
                <w:sz w:val="4"/>
                <w:szCs w:val="4"/>
              </w:rPr>
            </w:pPr>
            <w:r>
              <w:rPr>
                <w:sz w:val="4"/>
                <w:szCs w:val="4"/>
              </w:rPr>
            </w:r>
          </w:p>
        </w:tc>
      </w:tr>
      <w:tr>
        <w:trPr/>
        <w:tc>
          <w:tcPr>
            <w:tcW w:w="364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Samuel L. Barker</w:t>
            </w:r>
          </w:p>
          <w:p>
            <w:pPr>
              <w:pStyle w:val="TableContents"/>
              <w:bidi w:val="0"/>
              <w:spacing w:before="0" w:after="20"/>
              <w:jc w:val="left"/>
              <w:rPr>
                <w:rFonts w:ascii="Times New Roman" w:hAnsi="Times New Roman"/>
                <w:sz w:val="20"/>
              </w:rPr>
            </w:pPr>
            <w:r>
              <w:rPr>
                <w:rFonts w:ascii="Times New Roman" w:hAnsi="Times New Roman"/>
                <w:sz w:val="20"/>
              </w:rPr>
              <w:t>Samuel L. Barker</w:t>
            </w:r>
          </w:p>
        </w:tc>
        <w:tc>
          <w:tcPr>
            <w:tcW w:w="208" w:type="dxa"/>
            <w:tcBorders/>
            <w:vAlign w:val="bottom"/>
          </w:tcPr>
          <w:p>
            <w:pPr>
              <w:pStyle w:val="TableContents"/>
              <w:bidi w:val="0"/>
              <w:spacing w:before="0" w:after="283"/>
              <w:jc w:val="left"/>
              <w:rPr/>
            </w:pPr>
            <w:r>
              <w:rPr/>
              <w:t>  </w:t>
            </w:r>
          </w:p>
        </w:tc>
        <w:tc>
          <w:tcPr>
            <w:tcW w:w="6353" w:type="dxa"/>
            <w:tcBorders/>
          </w:tcPr>
          <w:p>
            <w:pPr>
              <w:pStyle w:val="TableContents"/>
              <w:bidi w:val="0"/>
              <w:spacing w:before="0" w:after="283"/>
              <w:jc w:val="center"/>
              <w:rPr/>
            </w:pPr>
            <w:r>
              <w:rPr/>
              <w:t>Director</w:t>
            </w:r>
          </w:p>
        </w:tc>
      </w:tr>
      <w:tr>
        <w:trPr>
          <w:trHeight w:val="240" w:hRule="atLeast"/>
        </w:trPr>
        <w:tc>
          <w:tcPr>
            <w:tcW w:w="3644" w:type="dxa"/>
            <w:tcBorders/>
            <w:vAlign w:val="center"/>
          </w:tcPr>
          <w:p>
            <w:pPr>
              <w:pStyle w:val="TableContents"/>
              <w:bidi w:val="0"/>
              <w:spacing w:before="0" w:after="283"/>
              <w:jc w:val="left"/>
              <w:rPr>
                <w:sz w:val="4"/>
                <w:szCs w:val="4"/>
              </w:rPr>
            </w:pPr>
            <w:r>
              <w:rPr>
                <w:sz w:val="4"/>
                <w:szCs w:val="4"/>
              </w:rPr>
            </w:r>
          </w:p>
        </w:tc>
        <w:tc>
          <w:tcPr>
            <w:tcW w:w="6561" w:type="dxa"/>
            <w:gridSpan w:val="2"/>
            <w:tcBorders/>
            <w:vAlign w:val="center"/>
          </w:tcPr>
          <w:p>
            <w:pPr>
              <w:pStyle w:val="TableContents"/>
              <w:bidi w:val="0"/>
              <w:spacing w:before="0" w:after="283"/>
              <w:jc w:val="left"/>
              <w:rPr>
                <w:sz w:val="4"/>
                <w:szCs w:val="4"/>
              </w:rPr>
            </w:pPr>
            <w:r>
              <w:rPr>
                <w:sz w:val="4"/>
                <w:szCs w:val="4"/>
              </w:rPr>
            </w:r>
          </w:p>
        </w:tc>
      </w:tr>
      <w:tr>
        <w:trPr/>
        <w:tc>
          <w:tcPr>
            <w:tcW w:w="364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Ivan H. Cheung</w:t>
            </w:r>
          </w:p>
          <w:p>
            <w:pPr>
              <w:pStyle w:val="TableContents"/>
              <w:bidi w:val="0"/>
              <w:spacing w:before="0" w:after="20"/>
              <w:jc w:val="left"/>
              <w:rPr>
                <w:rFonts w:ascii="Times New Roman" w:hAnsi="Times New Roman"/>
                <w:sz w:val="20"/>
              </w:rPr>
            </w:pPr>
            <w:r>
              <w:rPr>
                <w:rFonts w:ascii="Times New Roman" w:hAnsi="Times New Roman"/>
                <w:sz w:val="20"/>
              </w:rPr>
              <w:t>Ivan H. Cheung</w:t>
            </w:r>
          </w:p>
        </w:tc>
        <w:tc>
          <w:tcPr>
            <w:tcW w:w="208" w:type="dxa"/>
            <w:tcBorders/>
            <w:vAlign w:val="bottom"/>
          </w:tcPr>
          <w:p>
            <w:pPr>
              <w:pStyle w:val="TableContents"/>
              <w:bidi w:val="0"/>
              <w:spacing w:before="0" w:after="283"/>
              <w:jc w:val="left"/>
              <w:rPr/>
            </w:pPr>
            <w:r>
              <w:rPr/>
              <w:t>  </w:t>
            </w:r>
          </w:p>
        </w:tc>
        <w:tc>
          <w:tcPr>
            <w:tcW w:w="6353" w:type="dxa"/>
            <w:tcBorders/>
          </w:tcPr>
          <w:p>
            <w:pPr>
              <w:pStyle w:val="TableContents"/>
              <w:bidi w:val="0"/>
              <w:spacing w:before="0" w:after="283"/>
              <w:jc w:val="center"/>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645"/>
        <w:gridCol w:w="207"/>
        <w:gridCol w:w="6353"/>
      </w:tblGrid>
      <w:tr>
        <w:trPr/>
        <w:tc>
          <w:tcPr>
            <w:tcW w:w="3645"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635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r>
      <w:tr>
        <w:trPr>
          <w:trHeight w:val="240" w:hRule="atLeast"/>
        </w:trPr>
        <w:tc>
          <w:tcPr>
            <w:tcW w:w="3645" w:type="dxa"/>
            <w:tcBorders/>
            <w:vAlign w:val="center"/>
          </w:tcPr>
          <w:p>
            <w:pPr>
              <w:pStyle w:val="TableContents"/>
              <w:bidi w:val="0"/>
              <w:spacing w:before="0" w:after="283"/>
              <w:jc w:val="left"/>
              <w:rPr>
                <w:sz w:val="4"/>
                <w:szCs w:val="4"/>
              </w:rPr>
            </w:pPr>
            <w:r>
              <w:rPr>
                <w:sz w:val="4"/>
                <w:szCs w:val="4"/>
              </w:rPr>
            </w:r>
          </w:p>
        </w:tc>
        <w:tc>
          <w:tcPr>
            <w:tcW w:w="6560" w:type="dxa"/>
            <w:gridSpan w:val="2"/>
            <w:tcBorders/>
            <w:vAlign w:val="center"/>
          </w:tcPr>
          <w:p>
            <w:pPr>
              <w:pStyle w:val="TableContents"/>
              <w:bidi w:val="0"/>
              <w:spacing w:before="0" w:after="283"/>
              <w:jc w:val="left"/>
              <w:rPr>
                <w:sz w:val="4"/>
                <w:szCs w:val="4"/>
              </w:rPr>
            </w:pPr>
            <w:r>
              <w:rPr>
                <w:sz w:val="4"/>
                <w:szCs w:val="4"/>
              </w:rPr>
            </w:r>
          </w:p>
        </w:tc>
      </w:tr>
      <w:tr>
        <w:trPr/>
        <w:tc>
          <w:tcPr>
            <w:tcW w:w="364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Christopher J. Sobecki</w:t>
            </w:r>
          </w:p>
          <w:p>
            <w:pPr>
              <w:pStyle w:val="TableContents"/>
              <w:bidi w:val="0"/>
              <w:spacing w:before="0" w:after="20"/>
              <w:jc w:val="left"/>
              <w:rPr>
                <w:rFonts w:ascii="Times New Roman" w:hAnsi="Times New Roman"/>
                <w:sz w:val="20"/>
              </w:rPr>
            </w:pPr>
            <w:r>
              <w:rPr>
                <w:rFonts w:ascii="Times New Roman" w:hAnsi="Times New Roman"/>
                <w:sz w:val="20"/>
              </w:rPr>
              <w:t>Christopher J. Sobecki</w:t>
            </w:r>
          </w:p>
        </w:tc>
        <w:tc>
          <w:tcPr>
            <w:tcW w:w="207" w:type="dxa"/>
            <w:tcBorders/>
            <w:vAlign w:val="bottom"/>
          </w:tcPr>
          <w:p>
            <w:pPr>
              <w:pStyle w:val="TableContents"/>
              <w:bidi w:val="0"/>
              <w:spacing w:before="0" w:after="283"/>
              <w:jc w:val="left"/>
              <w:rPr/>
            </w:pPr>
            <w:r>
              <w:rPr/>
              <w:t>  </w:t>
            </w:r>
          </w:p>
        </w:tc>
        <w:tc>
          <w:tcPr>
            <w:tcW w:w="6353" w:type="dxa"/>
            <w:tcBorders/>
          </w:tcPr>
          <w:p>
            <w:pPr>
              <w:pStyle w:val="TableContents"/>
              <w:bidi w:val="0"/>
              <w:spacing w:before="0" w:after="283"/>
              <w:jc w:val="center"/>
              <w:rPr/>
            </w:pPr>
            <w:r>
              <w:rPr/>
              <w:t>Director</w:t>
            </w:r>
          </w:p>
        </w:tc>
      </w:tr>
      <w:tr>
        <w:trPr>
          <w:trHeight w:val="240" w:hRule="atLeast"/>
        </w:trPr>
        <w:tc>
          <w:tcPr>
            <w:tcW w:w="3645" w:type="dxa"/>
            <w:tcBorders/>
            <w:vAlign w:val="center"/>
          </w:tcPr>
          <w:p>
            <w:pPr>
              <w:pStyle w:val="TableContents"/>
              <w:bidi w:val="0"/>
              <w:spacing w:before="0" w:after="283"/>
              <w:jc w:val="left"/>
              <w:rPr>
                <w:sz w:val="4"/>
                <w:szCs w:val="4"/>
              </w:rPr>
            </w:pPr>
            <w:r>
              <w:rPr>
                <w:sz w:val="4"/>
                <w:szCs w:val="4"/>
              </w:rPr>
            </w:r>
          </w:p>
        </w:tc>
        <w:tc>
          <w:tcPr>
            <w:tcW w:w="6560" w:type="dxa"/>
            <w:gridSpan w:val="2"/>
            <w:tcBorders/>
            <w:vAlign w:val="center"/>
          </w:tcPr>
          <w:p>
            <w:pPr>
              <w:pStyle w:val="TableContents"/>
              <w:bidi w:val="0"/>
              <w:spacing w:before="0" w:after="283"/>
              <w:jc w:val="left"/>
              <w:rPr>
                <w:sz w:val="4"/>
                <w:szCs w:val="4"/>
              </w:rPr>
            </w:pPr>
            <w:r>
              <w:rPr>
                <w:sz w:val="4"/>
                <w:szCs w:val="4"/>
              </w:rPr>
            </w:r>
          </w:p>
        </w:tc>
      </w:tr>
      <w:tr>
        <w:trPr/>
        <w:tc>
          <w:tcPr>
            <w:tcW w:w="364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Diane E. Sullivan</w:t>
            </w:r>
          </w:p>
          <w:p>
            <w:pPr>
              <w:pStyle w:val="TableContents"/>
              <w:bidi w:val="0"/>
              <w:spacing w:before="0" w:after="20"/>
              <w:jc w:val="left"/>
              <w:rPr>
                <w:rFonts w:ascii="Times New Roman" w:hAnsi="Times New Roman"/>
                <w:sz w:val="20"/>
              </w:rPr>
            </w:pPr>
            <w:r>
              <w:rPr>
                <w:rFonts w:ascii="Times New Roman" w:hAnsi="Times New Roman"/>
                <w:sz w:val="20"/>
              </w:rPr>
              <w:t>Diane E. Sullivan</w:t>
            </w:r>
          </w:p>
        </w:tc>
        <w:tc>
          <w:tcPr>
            <w:tcW w:w="207" w:type="dxa"/>
            <w:tcBorders/>
            <w:vAlign w:val="bottom"/>
          </w:tcPr>
          <w:p>
            <w:pPr>
              <w:pStyle w:val="TableContents"/>
              <w:bidi w:val="0"/>
              <w:spacing w:before="0" w:after="283"/>
              <w:jc w:val="left"/>
              <w:rPr/>
            </w:pPr>
            <w:r>
              <w:rPr/>
              <w:t>  </w:t>
            </w:r>
          </w:p>
        </w:tc>
        <w:tc>
          <w:tcPr>
            <w:tcW w:w="6353" w:type="dxa"/>
            <w:tcBorders/>
          </w:tcPr>
          <w:p>
            <w:pPr>
              <w:pStyle w:val="TableContents"/>
              <w:bidi w:val="0"/>
              <w:spacing w:before="0" w:after="283"/>
              <w:jc w:val="center"/>
              <w:rPr/>
            </w:pPr>
            <w:r>
              <w:rPr/>
              <w:t>Director</w:t>
            </w:r>
          </w:p>
        </w:tc>
      </w:tr>
      <w:tr>
        <w:trPr>
          <w:trHeight w:val="240" w:hRule="atLeast"/>
        </w:trPr>
        <w:tc>
          <w:tcPr>
            <w:tcW w:w="3645" w:type="dxa"/>
            <w:tcBorders/>
            <w:vAlign w:val="center"/>
          </w:tcPr>
          <w:p>
            <w:pPr>
              <w:pStyle w:val="TableContents"/>
              <w:bidi w:val="0"/>
              <w:spacing w:before="0" w:after="283"/>
              <w:jc w:val="left"/>
              <w:rPr>
                <w:sz w:val="4"/>
                <w:szCs w:val="4"/>
              </w:rPr>
            </w:pPr>
            <w:r>
              <w:rPr>
                <w:sz w:val="4"/>
                <w:szCs w:val="4"/>
              </w:rPr>
            </w:r>
          </w:p>
        </w:tc>
        <w:tc>
          <w:tcPr>
            <w:tcW w:w="6560" w:type="dxa"/>
            <w:gridSpan w:val="2"/>
            <w:tcBorders/>
            <w:vAlign w:val="center"/>
          </w:tcPr>
          <w:p>
            <w:pPr>
              <w:pStyle w:val="TableContents"/>
              <w:bidi w:val="0"/>
              <w:spacing w:before="0" w:after="283"/>
              <w:jc w:val="left"/>
              <w:rPr>
                <w:sz w:val="4"/>
                <w:szCs w:val="4"/>
              </w:rPr>
            </w:pPr>
            <w:r>
              <w:rPr>
                <w:sz w:val="4"/>
                <w:szCs w:val="4"/>
              </w:rPr>
            </w:r>
          </w:p>
        </w:tc>
      </w:tr>
      <w:tr>
        <w:trPr/>
        <w:tc>
          <w:tcPr>
            <w:tcW w:w="364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Judith L. Swain</w:t>
            </w:r>
          </w:p>
          <w:p>
            <w:pPr>
              <w:pStyle w:val="TableContents"/>
              <w:bidi w:val="0"/>
              <w:spacing w:before="0" w:after="20"/>
              <w:jc w:val="left"/>
              <w:rPr>
                <w:rFonts w:ascii="Times New Roman" w:hAnsi="Times New Roman"/>
                <w:sz w:val="20"/>
              </w:rPr>
            </w:pPr>
            <w:r>
              <w:rPr>
                <w:rFonts w:ascii="Times New Roman" w:hAnsi="Times New Roman"/>
                <w:sz w:val="20"/>
              </w:rPr>
              <w:t>Judith L. Swain</w:t>
            </w:r>
          </w:p>
        </w:tc>
        <w:tc>
          <w:tcPr>
            <w:tcW w:w="207" w:type="dxa"/>
            <w:tcBorders/>
            <w:vAlign w:val="bottom"/>
          </w:tcPr>
          <w:p>
            <w:pPr>
              <w:pStyle w:val="TableContents"/>
              <w:bidi w:val="0"/>
              <w:spacing w:before="0" w:after="283"/>
              <w:jc w:val="left"/>
              <w:rPr/>
            </w:pPr>
            <w:r>
              <w:rPr/>
              <w:t>  </w:t>
            </w:r>
          </w:p>
        </w:tc>
        <w:tc>
          <w:tcPr>
            <w:tcW w:w="6353" w:type="dxa"/>
            <w:tcBorders/>
          </w:tcPr>
          <w:p>
            <w:pPr>
              <w:pStyle w:val="TableContents"/>
              <w:bidi w:val="0"/>
              <w:spacing w:before="0" w:after="283"/>
              <w:jc w:val="center"/>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p>
    <w:p>
      <w:pPr>
        <w:pStyle w:val="TextBody"/>
        <w:bidi w:val="0"/>
        <w:spacing w:before="0" w:after="0"/>
        <w:jc w:val="right"/>
        <w:rPr>
          <w:rFonts w:ascii="Times New Roman" w:hAnsi="Times New Roman"/>
          <w:b/>
          <w:sz w:val="20"/>
        </w:rPr>
      </w:pPr>
      <w:bookmarkStart w:id="16" w:name="d140435dex51.htm"/>
      <w:bookmarkStart w:id="17" w:name="ksd140435dex51"/>
      <w:bookmarkEnd w:id="16"/>
      <w:bookmarkEnd w:id="17"/>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619250" cy="285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7"/>
                    <a:stretch>
                      <a:fillRect/>
                    </a:stretch>
                  </pic:blipFill>
                  <pic:spPr bwMode="auto">
                    <a:xfrm>
                      <a:off x="0" y="0"/>
                      <a:ext cx="1619250" cy="2857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August 6, 2026 </w:t>
      </w:r>
    </w:p>
    <w:p>
      <w:pPr>
        <w:pStyle w:val="TextBody"/>
        <w:bidi w:val="0"/>
        <w:spacing w:before="240" w:after="0"/>
        <w:jc w:val="left"/>
        <w:rPr>
          <w:rFonts w:ascii="Times New Roman" w:hAnsi="Times New Roman"/>
          <w:sz w:val="20"/>
        </w:rPr>
      </w:pPr>
      <w:r>
        <w:rPr>
          <w:rFonts w:ascii="Times New Roman" w:hAnsi="Times New Roman"/>
          <w:sz w:val="20"/>
        </w:rPr>
        <w:t xml:space="preserve">Lexicon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2445 Technology Forest Blvd., 11th Floor </w:t>
      </w:r>
    </w:p>
    <w:p>
      <w:pPr>
        <w:pStyle w:val="TextBody"/>
        <w:bidi w:val="0"/>
        <w:spacing w:before="0" w:after="0"/>
        <w:jc w:val="left"/>
        <w:rPr>
          <w:rFonts w:ascii="Times New Roman" w:hAnsi="Times New Roman"/>
          <w:sz w:val="20"/>
        </w:rPr>
      </w:pPr>
      <w:r>
        <w:rPr>
          <w:rFonts w:ascii="Times New Roman" w:hAnsi="Times New Roman"/>
          <w:sz w:val="20"/>
        </w:rPr>
        <w:t xml:space="preserve">The Woodlands, Texas 77381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counsel for Lexicon Pharmaceuticals, Inc., a Delaware corporation (the “Company”), with respect to certain legal matters in connection with a Registration Statement on Form S-3 (the “Registration Statement”) filed by the Company with the U.S. Securities and Exchange Commission (the Commission”) under the Securities Act of 1933, as amended (the “Securities Act”). The Registration Statement relates to the offer and sale by certain selling stockholders of up to 1,257,856 shares of the Company’s common stock, par value $0.001 per share (the “Common Stock”), issuable upon the exercise of certain warrants to purchase shares of the Common Stock (the “Warrants”) issued to the selling stockholders pursuant to the warrant agreements, dated as of May 4, 2026 (the “Warrant Agreements”). </w:t>
      </w:r>
    </w:p>
    <w:p>
      <w:pPr>
        <w:pStyle w:val="TextBody"/>
        <w:bidi w:val="0"/>
        <w:spacing w:before="240" w:after="0"/>
        <w:jc w:val="left"/>
        <w:rPr>
          <w:rFonts w:ascii="Times New Roman" w:hAnsi="Times New Roman"/>
          <w:sz w:val="20"/>
        </w:rPr>
      </w:pPr>
      <w:r>
        <w:rPr>
          <w:rFonts w:ascii="Times New Roman" w:hAnsi="Times New Roman"/>
          <w:sz w:val="20"/>
        </w:rPr>
        <w:t xml:space="preserve">We have examined originals or copies, certified or otherwise identified to our satisfaction, of (i) the Registration Statement; (ii) the prospectus forming a part of the Registration Statement (the “Prospectus”); (iii) the Seventh Amended and Restated Certificate of Incorporation of the Company and the Second Amended and Restated Bylaws of the Company; (iv) certain resolutions adopted by the Board of Directors of the Company relating to the Prospectus, the Registration Statement and related matters; (v) the Warrant Agreements and (vi) such other certificates, statutes and other instruments and documents as we considered appropriate for purposes of the opinions hereafter expressed. </w:t>
      </w:r>
    </w:p>
    <w:p>
      <w:pPr>
        <w:pStyle w:val="TextBody"/>
        <w:bidi w:val="0"/>
        <w:spacing w:before="240" w:after="0"/>
        <w:jc w:val="left"/>
        <w:rPr>
          <w:rFonts w:ascii="Times New Roman" w:hAnsi="Times New Roman"/>
          <w:sz w:val="20"/>
        </w:rPr>
      </w:pPr>
      <w:r>
        <w:rPr>
          <w:rFonts w:ascii="Times New Roman" w:hAnsi="Times New Roman"/>
          <w:sz w:val="20"/>
        </w:rPr>
        <w:t xml:space="preserve">As to any facts material to our opinions contained herein, we have made no independent investigation of such facts and have relied, to the extent that we deem such reliance proper, upon certificates from officers of the Company and other representatives of the Company, and upon certificates of public officials.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opinions set forth below, we have assumed that (i) all information contained in all documents reviewed by us is true and correct; (ii) all signatures on all documents examined by us are genuine; (iii) all documents submitted to us as originals are authentic and all documents submitted to us as copies conform to the originals of those documents; (iv) each natural person signing any document reviewed by us had the legal capacity to do so; (v) each person signing in a representative capacity (other than on behalf of the Company) any document reviewed by us had authority to sign in such capacity; (vi) the Registration Statement, and any amendments thereto (including post-effective amendments), is effective and complies with all applicable laws; (vii) the Company has timely filed all necessary reports pursuant to the Securities Exchange Act of 1934; and (viii) the Common Stock will be sold as described in the Registration Statement, the Prospectus and any applicable prospectus supplement. We express no opinion as to the requirements of or compliance with federal or state securities laws or regulations.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30"/>
        <w:gridCol w:w="121"/>
        <w:gridCol w:w="4954"/>
      </w:tblGrid>
      <w:tr>
        <w:trPr/>
        <w:tc>
          <w:tcPr>
            <w:tcW w:w="513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54" w:type="dxa"/>
            <w:tcBorders/>
            <w:vAlign w:val="center"/>
          </w:tcPr>
          <w:p>
            <w:pPr>
              <w:pStyle w:val="TableContents"/>
              <w:bidi w:val="0"/>
              <w:spacing w:before="0" w:after="283"/>
              <w:jc w:val="left"/>
              <w:rPr>
                <w:sz w:val="4"/>
                <w:szCs w:val="4"/>
              </w:rPr>
            </w:pPr>
            <w:r>
              <w:rPr>
                <w:sz w:val="4"/>
                <w:szCs w:val="4"/>
              </w:rPr>
            </w:r>
          </w:p>
        </w:tc>
      </w:tr>
      <w:tr>
        <w:trPr/>
        <w:tc>
          <w:tcPr>
            <w:tcW w:w="5130" w:type="dxa"/>
            <w:tcBorders/>
          </w:tcPr>
          <w:p>
            <w:pPr>
              <w:pStyle w:val="TableContents"/>
              <w:bidi w:val="0"/>
              <w:spacing w:before="0" w:after="283"/>
              <w:jc w:val="left"/>
              <w:rPr>
                <w:b/>
              </w:rPr>
            </w:pPr>
            <w:r>
              <w:rPr>
                <w:b/>
              </w:rPr>
              <w:t>Vinson &amp; Elkins LLP Attorneys at Law</w:t>
            </w:r>
          </w:p>
        </w:tc>
        <w:tc>
          <w:tcPr>
            <w:tcW w:w="121" w:type="dxa"/>
            <w:tcBorders/>
            <w:vAlign w:val="bottom"/>
          </w:tcPr>
          <w:p>
            <w:pPr>
              <w:pStyle w:val="TableContents"/>
              <w:bidi w:val="0"/>
              <w:spacing w:before="0" w:after="283"/>
              <w:jc w:val="left"/>
              <w:rPr/>
            </w:pPr>
            <w:r>
              <w:rPr/>
              <w:t>  </w:t>
            </w:r>
          </w:p>
        </w:tc>
        <w:tc>
          <w:tcPr>
            <w:tcW w:w="4954" w:type="dxa"/>
            <w:tcBorders/>
          </w:tcPr>
          <w:p>
            <w:pPr>
              <w:pStyle w:val="TableContents"/>
              <w:bidi w:val="0"/>
              <w:spacing w:before="0" w:after="283"/>
              <w:jc w:val="left"/>
              <w:rPr/>
            </w:pPr>
            <w:r>
              <w:rPr/>
              <w:t>845 Texas Avenue, Suite 4700</w:t>
            </w:r>
          </w:p>
        </w:tc>
      </w:tr>
      <w:tr>
        <w:trPr/>
        <w:tc>
          <w:tcPr>
            <w:tcW w:w="5130" w:type="dxa"/>
            <w:tcBorders/>
          </w:tcPr>
          <w:p>
            <w:pPr>
              <w:pStyle w:val="TableContents"/>
              <w:bidi w:val="0"/>
              <w:spacing w:before="0" w:after="283"/>
              <w:jc w:val="left"/>
              <w:rPr/>
            </w:pPr>
            <w:r>
              <w:rPr/>
              <w:t>Austin  Brussels Dallas Denver Dubai Houston London Los  Angeles</w:t>
            </w:r>
          </w:p>
        </w:tc>
        <w:tc>
          <w:tcPr>
            <w:tcW w:w="121" w:type="dxa"/>
            <w:tcBorders/>
            <w:vAlign w:val="bottom"/>
          </w:tcPr>
          <w:p>
            <w:pPr>
              <w:pStyle w:val="TableContents"/>
              <w:bidi w:val="0"/>
              <w:spacing w:before="0" w:after="283"/>
              <w:jc w:val="left"/>
              <w:rPr/>
            </w:pPr>
            <w:r>
              <w:rPr/>
              <w:t>  </w:t>
            </w:r>
          </w:p>
        </w:tc>
        <w:tc>
          <w:tcPr>
            <w:tcW w:w="4954" w:type="dxa"/>
            <w:tcBorders/>
          </w:tcPr>
          <w:p>
            <w:pPr>
              <w:pStyle w:val="TableContents"/>
              <w:bidi w:val="0"/>
              <w:spacing w:before="0" w:after="283"/>
              <w:jc w:val="left"/>
              <w:rPr/>
            </w:pPr>
            <w:r>
              <w:rPr/>
              <w:t>Houston, TX 77002</w:t>
            </w:r>
          </w:p>
        </w:tc>
      </w:tr>
      <w:tr>
        <w:trPr/>
        <w:tc>
          <w:tcPr>
            <w:tcW w:w="5130" w:type="dxa"/>
            <w:tcBorders/>
          </w:tcPr>
          <w:p>
            <w:pPr>
              <w:pStyle w:val="TableContents"/>
              <w:bidi w:val="0"/>
              <w:spacing w:before="0" w:after="283"/>
              <w:jc w:val="left"/>
              <w:rPr/>
            </w:pPr>
            <w:r>
              <w:rPr/>
              <w:t>New York Richmond San Francisco Tokyo Washington</w:t>
            </w:r>
          </w:p>
        </w:tc>
        <w:tc>
          <w:tcPr>
            <w:tcW w:w="121" w:type="dxa"/>
            <w:tcBorders/>
            <w:vAlign w:val="bottom"/>
          </w:tcPr>
          <w:p>
            <w:pPr>
              <w:pStyle w:val="TableContents"/>
              <w:bidi w:val="0"/>
              <w:spacing w:before="0" w:after="283"/>
              <w:jc w:val="left"/>
              <w:rPr/>
            </w:pPr>
            <w:r>
              <w:rPr/>
              <w:t>  </w:t>
            </w:r>
          </w:p>
        </w:tc>
        <w:tc>
          <w:tcPr>
            <w:tcW w:w="4954" w:type="dxa"/>
            <w:tcBorders/>
          </w:tcPr>
          <w:p>
            <w:pPr>
              <w:pStyle w:val="TableContents"/>
              <w:bidi w:val="0"/>
              <w:spacing w:before="0" w:after="283"/>
              <w:jc w:val="left"/>
              <w:rPr/>
            </w:pPr>
            <w:r>
              <w:rPr>
                <w:b/>
              </w:rPr>
              <w:t>Tel</w:t>
            </w:r>
            <w:r>
              <w:rPr/>
              <w:t xml:space="preserve"> +1.713.758.2222 </w:t>
            </w:r>
            <w:r>
              <w:rPr>
                <w:b/>
              </w:rPr>
              <w:t>Fax</w:t>
            </w:r>
            <w:r>
              <w:rPr/>
              <w:t xml:space="preserve"> +1.713.758.2346 velaw.com</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August 6,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Based upon and subject to the foregoing, it is our opinion that, upon the exercise of the Warrants pursuant to the terms and conditions set forth in the Warrant Agreements, the Common Stock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The opinions expressed in this letter are limited to the General Corporation Law of the State of Delaware and the federal laws of the United States of America as in effect on the date hereof, and we undertake no duty to update or supplement the foregoing opinions to reflect any facts or circumstances that may hereafter come to our attention or to reflect any changes in any law that may hereafter occur or become effective. We do not express any opinions as to the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Registration Statement. We also consent to the reference to this firm under the heading “Legal Matters” in the Prospectus. In giving this consent, we do not admit that we are within the category of persons whose consent is required under Section 7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disclaim any duty to advise you regarding any changes in, or otherwise communicate with you with respect to, the matters addressed herein.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/s/ Vinson &amp; Elkins L.L.P.</w:t>
            </w:r>
          </w:p>
        </w:tc>
      </w:tr>
    </w:tbl>
    <w:p>
      <w:pPr>
        <w:pStyle w:val="TextBody"/>
        <w:bidi w:val="0"/>
        <w:spacing w:before="0" w:after="0"/>
        <w:jc w:val="right"/>
        <w:rPr>
          <w:rFonts w:ascii="Times New Roman" w:hAnsi="Times New Roman"/>
          <w:b/>
          <w:sz w:val="20"/>
        </w:rPr>
      </w:pPr>
      <w:bookmarkStart w:id="18" w:name="d140435dex231.htm"/>
      <w:bookmarkStart w:id="19" w:name="ksd140435dex231"/>
      <w:bookmarkEnd w:id="18"/>
      <w:bookmarkEnd w:id="19"/>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in this Registration Statement (Form S-3) and related Prospectus of Lexicon Pharmaceuticals, Inc. for the registration of its common stock and to the incorporation by reference therein of our report dated March 5, 2026, with respect to the consolidated financial statements of Lexicon Pharmaceuticals, Inc. included in its Annual Report (Form 10-K) for the year ended December 31, 2025, filed with the Securities and Exchange Commission.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Ernst &amp; Young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Houston, Texas</w:t>
            </w:r>
          </w:p>
        </w:tc>
      </w:tr>
      <w:tr>
        <w:trPr/>
        <w:tc>
          <w:tcPr>
            <w:tcW w:w="4082" w:type="dxa"/>
            <w:tcBorders/>
            <w:vAlign w:val="bottom"/>
          </w:tcPr>
          <w:p>
            <w:pPr>
              <w:pStyle w:val="TableContents"/>
              <w:bidi w:val="0"/>
              <w:spacing w:before="0" w:after="283"/>
              <w:jc w:val="left"/>
              <w:rPr/>
            </w:pPr>
            <w:r>
              <w:rPr/>
              <w:t>August 6, 2026</w:t>
            </w:r>
          </w:p>
        </w:tc>
      </w:tr>
    </w:tbl>
    <w:p>
      <w:pPr>
        <w:pStyle w:val="Normal"/>
        <w:bidi w:val="0"/>
        <w:spacing w:before="0" w:after="0"/>
        <w:jc w:val="left"/>
        <w:rPr>
          <w:sz w:val="4"/>
          <w:szCs w:val="4"/>
        </w:rPr>
      </w:pPr>
      <w:r>
        <w:rPr>
          <w:sz w:val="4"/>
          <w:szCs w:val="4"/>
        </w:rPr>
      </w:r>
      <w:bookmarkStart w:id="20" w:name="d140435dexfilingfees.htm"/>
      <w:bookmarkStart w:id="21" w:name="ksd140435dexfilingfees"/>
      <w:bookmarkStart w:id="22" w:name="d140435dexfilingfees.htm"/>
      <w:bookmarkStart w:id="23" w:name="ksd140435dexfilingfees"/>
      <w:bookmarkEnd w:id="22"/>
      <w:bookmarkEnd w:id="23"/>
      <w:r>
        <w:br w:type="page"/>
      </w:r>
    </w:p>
    <w:tbl>
      <w:tblPr>
        <w:tblW w:w="4700" w:type="dxa"/>
        <w:jc w:val="left"/>
        <w:tblInd w:w="0" w:type="dxa"/>
        <w:tblLayout w:type="fixed"/>
        <w:tblCellMar>
          <w:top w:w="28" w:type="dxa"/>
          <w:left w:w="28" w:type="dxa"/>
          <w:bottom w:w="28" w:type="dxa"/>
          <w:right w:w="28" w:type="dxa"/>
        </w:tblCellMar>
      </w:tblPr>
      <w:tblGrid>
        <w:gridCol w:w="4546"/>
        <w:gridCol w:w="154"/>
      </w:tblGrid>
      <w:tr>
        <w:trPr/>
        <w:tc>
          <w:tcPr>
            <w:tcW w:w="470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54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4546" w:type="dxa"/>
            <w:tcBorders/>
            <w:vAlign w:val="center"/>
          </w:tcPr>
          <w:p>
            <w:pPr>
              <w:pStyle w:val="TableContents"/>
              <w:bidi w:val="0"/>
              <w:spacing w:before="0" w:after="283"/>
              <w:jc w:val="left"/>
              <w:rPr>
                <w:b/>
              </w:rPr>
            </w:pPr>
            <w:r>
              <w:rPr>
                <w:b/>
              </w:rPr>
              <w:t xml:space="preserve">LEXICON PHARMACEUTICALS,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31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54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4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31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$0.001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1,257,856 </w:t>
            </w:r>
          </w:p>
        </w:tc>
        <w:tc>
          <w:tcPr>
            <w:tcW w:w="1156" w:type="dxa"/>
            <w:tcBorders/>
            <w:shd w:fill="E7E7E2" w:val="clear"/>
            <w:vAlign w:val="center"/>
          </w:tcPr>
          <w:p>
            <w:pPr>
              <w:pStyle w:val="TableContents"/>
              <w:bidi w:val="0"/>
              <w:spacing w:before="0" w:after="283"/>
              <w:jc w:val="right"/>
              <w:rPr/>
            </w:pPr>
            <w:r>
              <w:rPr/>
              <w:t xml:space="preserve">$ 2.42 </w:t>
            </w:r>
          </w:p>
        </w:tc>
        <w:tc>
          <w:tcPr>
            <w:tcW w:w="1546" w:type="dxa"/>
            <w:tcBorders/>
            <w:shd w:fill="E7E7E2" w:val="clear"/>
            <w:vAlign w:val="center"/>
          </w:tcPr>
          <w:p>
            <w:pPr>
              <w:pStyle w:val="TableContents"/>
              <w:bidi w:val="0"/>
              <w:spacing w:before="0" w:after="283"/>
              <w:jc w:val="right"/>
              <w:rPr/>
            </w:pPr>
            <w:r>
              <w:rPr/>
              <w:t xml:space="preserve">$ 3,044,011.52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$ 420.38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31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0"/>
              <w:ind w:left="0" w:right="0" w:hanging="0"/>
              <w:jc w:val="right"/>
              <w:rPr/>
            </w:pPr>
            <w:bookmarkStart w:id="24" w:name="MaxAggtOfferingPrice"/>
            <w:bookmarkEnd w:id="24"/>
            <w:r>
              <w:rPr/>
              <w:t xml:space="preserve">$ 3,044,011.52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5" w:name="TotalFeeAmt"/>
            <w:bookmarkEnd w:id="25"/>
            <w:r>
              <w:rPr/>
              <w:t xml:space="preserve">$ 420.38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6" w:name="TotalPreviouslyPaidAmt"/>
            <w:bookmarkEnd w:id="2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7" w:name="TotalOffsetAmt"/>
            <w:bookmarkEnd w:id="2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8" w:name="NetFeeAmt"/>
            <w:bookmarkEnd w:id="28"/>
            <w:r>
              <w:rPr/>
              <w:t xml:space="preserve">$ 420.38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8"/>
        <w:gridCol w:w="8706"/>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(1) Pursuant to Rule 416 under the Securities Act of 1933, as amended (the "Securities Act"), there is also being registered hereby such indeterminate number of additional shares of common stock of the registrant as may be issued or issuable as a result of stock splits, stock dividends, stock distributions, and similar transactions. (2) Represents 1,257,856 shares of common stock, par value $0.001 per share, of Lexicon Pharmaceuticals, Inc. (the "Registrant"), issuable upon the exercise of certain warrants to purchase shares of the Registrant's common stock, par value $0.001 per share, such shares of common stock to be offered and sold by the selling stockholders identified in this registration statement. (3) Estimated solely for the purpose of calculating the registration fee pursuant to Rule 457(c) under the Securities Act, based on the average of the high and low prices of the Registrant's common stock on the Nasdaq Capital Market on August 4, 2026.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062822/000106282226000050/lxrx-20251231.htm" TargetMode="External"/><Relationship Id="rId4" Type="http://schemas.openxmlformats.org/officeDocument/2006/relationships/hyperlink" Target="http://www.sec.gov/Archives/edgar/data/../../../ix?doc=/Archives/edgar/data/0001062822/000106282226000056/lxrx-20260316.htm" TargetMode="External"/><Relationship Id="rId5" Type="http://schemas.openxmlformats.org/officeDocument/2006/relationships/hyperlink" Target="http://www.sec.gov/Archives/edgar/data/../../../ix?doc=/Archives/edgar/data/0001062822/000106282226000101/lxrx-20260331.htm" TargetMode="External"/><Relationship Id="rId6" Type="http://schemas.openxmlformats.org/officeDocument/2006/relationships/hyperlink" Target="http://www.sec.gov/Archives/edgar/data/../../../ix?doc=/Archives/edgar/data/1062822/000106282226000117/lxrx-20260630.htm" TargetMode="External"/><Relationship Id="rId7" Type="http://schemas.openxmlformats.org/officeDocument/2006/relationships/hyperlink" Target="http://www.sec.gov/Archives/edgar/data/../../../ix?doc=/Archives/edgar/data/0001062822/000119312526029514/d61153d8k.htm" TargetMode="External"/><Relationship Id="rId8" Type="http://schemas.openxmlformats.org/officeDocument/2006/relationships/hyperlink" Target="http://www.sec.gov/Archives/edgar/data/../../../ix?doc=/Archives/edgar/data/0001062822/000119312526033793/d32395d8k.htm" TargetMode="External"/><Relationship Id="rId9" Type="http://schemas.openxmlformats.org/officeDocument/2006/relationships/hyperlink" Target="http://www.sec.gov/Archives/edgar/data/../../../ix?doc=/Archives/edgar/data/0001062822/000106282226000065/lxrx-20260430.htm" TargetMode="External"/><Relationship Id="rId10" Type="http://schemas.openxmlformats.org/officeDocument/2006/relationships/hyperlink" Target="http://www.sec.gov/Archives/edgar/data/../../../ix?doc=/Archives/edgar/data/0001062822/000106282226000094/lxrx-20260504.htm" TargetMode="External"/><Relationship Id="rId11" Type="http://schemas.openxmlformats.org/officeDocument/2006/relationships/hyperlink" Target="http://www.sec.gov/Archives/edgar/data/../../../ix?doc=/Archives/edgar/data/1062822/000106282226000112/lxrx-20260806.htm" TargetMode="External"/><Relationship Id="rId12" Type="http://schemas.openxmlformats.org/officeDocument/2006/relationships/hyperlink" Target="http://www.sec.gov/Archives/edgar/data/1062822/000095012900001394/0000950129-00-001394.txt" TargetMode="External"/><Relationship Id="rId13" Type="http://schemas.openxmlformats.org/officeDocument/2006/relationships/hyperlink" Target="http://www.sec.gov/Archives/edgar/data/1062822/000106282226000065/seventhamendedandrestate.htm" TargetMode="External"/><Relationship Id="rId14" Type="http://schemas.openxmlformats.org/officeDocument/2006/relationships/hyperlink" Target="http://www.sec.gov/Archives/edgar/data/1062822/000106282212000016/exh32secondamendedandresta.htm" TargetMode="External"/><Relationship Id="rId15" Type="http://schemas.openxmlformats.org/officeDocument/2006/relationships/hyperlink" Target="http://www.sec.gov/Archives/edgar/data/1062822/000106282226000117/exhibit41formofwarrantag.htm" TargetMode="External"/><Relationship Id="rId16" Type="http://schemas.openxmlformats.org/officeDocument/2006/relationships/hyperlink" Target="http://www.sec.gov/Archives/edgar/data/1062822/000106282226000117/exh101-herculesloanandse.htm" TargetMode="External"/><Relationship Id="rId17" Type="http://schemas.openxmlformats.org/officeDocument/2006/relationships/image" Target="media/image2.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12242</Words>
  <Characters>65205</Characters>
  <CharactersWithSpaces>77788</CharactersWithSpaces>
  <Paragraphs>1071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