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Lexicon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Anne Goffard, Westend S.A.</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44, Rue de la Vallee,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L-2661 Luxembourg, N4, 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(352) 22.42.59-1</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Kenneth B. Wallach</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Simpson Thacher &amp; Bartlett LLP, 425 Lexington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455-2000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Invus, L.P.</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BERMUDA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35,402,689.00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7,362,368.00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35,402,689.00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42,765,057.00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Invus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35,402,689.00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7,362,368.00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35,402,689.00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42,765,057.00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Invus Public Equities,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tbl>
      <w:tblPr>
        <w:tblLayout w:type="fixed"/>
        <w:tblInd w:w="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BERMUDA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7,362,368.00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00" w:type="dxa"/>
            <w:vAlign w:val="bottom"/>
            <w:vMerge w:val="continue"/>
          </w:tcPr>
          <w:p>
            <w:pPr>
              <w:spacing w:after="0"/>
              <w:rPr>
                <w:sz w:val="11"/>
                <w:szCs w:val="11"/>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7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7,362,368.00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-2150110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49" w:orient="portrait"/>
          <w:cols w:equalWidth="0" w:num="1">
            <w:col w:w="10099"/>
          </w:cols>
          <w:pgMar w:left="360" w:top="369"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7,362,368.00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Invus Public Equities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7,362,368.00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7,362,368.00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7,362,368.00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Invus Global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42,765,057.00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42,765,057.00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42,765,057.00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099"/>
          </w:cols>
          <w:pgMar w:left="360" w:top="355"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0099"/>
          </w:cols>
          <w:pgMar w:left="360" w:top="355" w:right="1440" w:bottom="0" w:gutter="0" w:footer="0" w:header="0"/>
          <w:type w:val="continuous"/>
        </w:sectPr>
      </w:pPr>
    </w:p>
    <w:bookmarkStart w:id="5" w:name="page6"/>
    <w:bookmarkEnd w:id="5"/>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Siren, L.L.C.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42,765,057.00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42,765,057.00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42,765,057.00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Avicenna Life Sci Master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60" w:orient="portrait"/>
          <w:cols w:equalWidth="0" w:num="1">
            <w:col w:w="10099"/>
          </w:cols>
          <w:pgMar w:left="360" w:top="111" w:right="1440"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1,538,462.00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1,538,462.00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1,538,462.00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Avicenna Life Sci Master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1,538,462.00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1,538,462.00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7" w:name="page8"/>
    <w:bookmarkEnd w:id="7"/>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1,538,462.00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Invus US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5,451,204.00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5,451,204.00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5,451,204.00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111" w:right="1440" w:bottom="0" w:gutter="0" w:footer="0" w:header="0"/>
          <w:type w:val="continuous"/>
        </w:sectPr>
      </w:pPr>
    </w:p>
    <w:bookmarkStart w:id="8" w:name="page9"/>
    <w:bookmarkEnd w:id="8"/>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Ulys,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49" w:orient="portrait"/>
          <w:cols w:equalWidth="0" w:num="1">
            <w:col w:w="10099"/>
          </w:cols>
          <w:pgMar w:left="360" w:top="1094"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6,989,666.00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6,989,666.00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6,989,666.00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09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Raymond Debbane</w:t>
      </w:r>
    </w:p>
    <w:p>
      <w:pPr>
        <w:spacing w:after="0" w:line="20" w:lineRule="exact"/>
        <w:rPr>
          <w:sz w:val="20"/>
          <w:szCs w:val="20"/>
          <w:color w:val="auto"/>
        </w:rPr>
      </w:pPr>
    </w:p>
    <w:p>
      <w:pPr>
        <w:ind w:left="1120" w:hanging="1112"/>
        <w:spacing w:after="0"/>
        <w:tabs>
          <w:tab w:leader="none" w:pos="112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49" w:orient="portrait"/>
          <w:cols w:equalWidth="0" w:num="1">
            <w:col w:w="10099"/>
          </w:cols>
          <w:pgMar w:left="360" w:top="1094" w:right="1440" w:bottom="0" w:gutter="0" w:footer="0" w:header="0"/>
          <w:type w:val="continuous"/>
        </w:sectPr>
      </w:pPr>
    </w:p>
    <w:bookmarkStart w:id="9" w:name="page10"/>
    <w:bookmarkEnd w:id="9"/>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PANAMA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51,878,643.00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51,878,643.00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51,878,643.00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Artal Participations S.a r.l.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LUXEMBOURG</w:t>
      </w:r>
    </w:p>
    <w:p>
      <w:pPr>
        <w:sectPr>
          <w:pgSz w:w="11900" w:h="16838" w:orient="portrait"/>
          <w:cols w:equalWidth="0" w:num="1">
            <w:col w:w="10099"/>
          </w:cols>
          <w:pgMar w:left="360" w:top="369" w:right="1440" w:bottom="0" w:gutter="0" w:footer="0" w:header="0"/>
          <w:type w:val="continuous"/>
        </w:sectPr>
      </w:pPr>
    </w:p>
    <w:bookmarkStart w:id="10" w:name="page11"/>
    <w:bookmarkEnd w:id="10"/>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320" w:right="7039" w:hanging="271"/>
        <w:spacing w:after="0" w:line="389" w:lineRule="auto"/>
        <w:tabs>
          <w:tab w:leader="none" w:pos="3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175,156,062.00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175,156,062.00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175,156,062.00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60"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Artal International S.C.A.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LUXEMBOURG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175,156,062.00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175,156,062.00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60" w:orient="portrait"/>
          <w:cols w:equalWidth="0" w:num="2">
            <w:col w:w="1060" w:space="60"/>
            <w:col w:w="8979"/>
          </w:cols>
          <w:pgMar w:left="360" w:top="112" w:right="1440" w:bottom="0" w:gutter="0" w:footer="0" w:header="0"/>
          <w:type w:val="continuous"/>
        </w:sectPr>
      </w:pPr>
    </w:p>
    <w:bookmarkStart w:id="11" w:name="page12"/>
    <w:bookmarkEnd w:id="11"/>
    <w:p>
      <w:pPr>
        <w:ind w:left="1120"/>
        <w:spacing w:after="0"/>
        <w:rPr>
          <w:sz w:val="20"/>
          <w:szCs w:val="20"/>
          <w:color w:val="auto"/>
        </w:rPr>
      </w:pPr>
      <w:r>
        <w:rPr>
          <w:rFonts w:ascii="Times New Roman" w:cs="Times New Roman" w:eastAsia="Times New Roman" w:hAnsi="Times New Roman"/>
          <w:sz w:val="22"/>
          <w:szCs w:val="22"/>
          <w:color w:val="auto"/>
        </w:rPr>
        <w:t>175,156,062.00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39.4 %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Artal International Management S.A.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235"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LUXEMBOURG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175,156,062.00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175,156,062.00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175,156,062.00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355" w:right="1440" w:bottom="235" w:gutter="0" w:footer="0" w:header="0"/>
          <w:type w:val="continuous"/>
        </w:sectPr>
      </w:pPr>
    </w:p>
    <w:bookmarkStart w:id="12" w:name="page13"/>
    <w:bookmarkEnd w:id="12"/>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Artal Group S.A.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152"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LUXEMBOURG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175,156,062.00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175,156,062.00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175,156,062.00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567" w:right="1440" w:bottom="1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Westend S.A.</w:t>
      </w:r>
    </w:p>
    <w:p>
      <w:pPr>
        <w:spacing w:after="0" w:line="20" w:lineRule="exact"/>
        <w:rPr>
          <w:sz w:val="20"/>
          <w:szCs w:val="20"/>
          <w:color w:val="auto"/>
        </w:rPr>
      </w:pPr>
    </w:p>
    <w:p>
      <w:pPr>
        <w:ind w:left="1120" w:hanging="1112"/>
        <w:spacing w:after="0"/>
        <w:tabs>
          <w:tab w:leader="none" w:pos="112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152"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LUXEMBOURG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175,156,062.00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175,156,062.00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175,156,062.00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Stichting Administratiekantoor Westend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175,156,062.00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175,156,062.00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175,156,062.00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Amaury Wittouck</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BELGIUM</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175,156,062.00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175,156,062.00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2" w:right="1440" w:bottom="0" w:gutter="0" w:footer="0" w:header="0"/>
          <w:type w:val="continuous"/>
        </w:sectPr>
      </w:pPr>
    </w:p>
    <w:bookmarkStart w:id="15" w:name="page16"/>
    <w:bookmarkEnd w:id="15"/>
    <w:p>
      <w:pPr>
        <w:ind w:left="1120"/>
        <w:spacing w:after="0"/>
        <w:rPr>
          <w:sz w:val="20"/>
          <w:szCs w:val="20"/>
          <w:color w:val="auto"/>
        </w:rPr>
      </w:pPr>
      <w:r>
        <w:rPr>
          <w:rFonts w:ascii="Times New Roman" w:cs="Times New Roman" w:eastAsia="Times New Roman" w:hAnsi="Times New Roman"/>
          <w:sz w:val="22"/>
          <w:szCs w:val="22"/>
          <w:color w:val="auto"/>
        </w:rPr>
        <w:t>175,156,062.00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39.4 %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Lexicon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2445 Technology Forest Blvd., 11th Floor, The Woodlands, TEXAS , 77381.</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26 hereby amends and supplements the statement of beneficial ownership on Schedule 13D,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relating to the common stock, $0.001 par value per share (the "Issuer Common Stock"), of Lexicon Pharmaceuticals,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Inc., a Delaware corporation (the "Issuer" or "Lexicon"), initially filed on June 27, 2007, as amended by Amendment No. 1 thereto filed on August 24, 2007, Amendment No. 2 thereto filed on August 29, 2007, Amendment No. 3 thereto filed on October 8, 2009, Amendment No. 4 thereto filed on October 15, 2009, Amendment No. 5 thereto filed on March 19, 2010, Amendment No. 6 thereto filed on August 15, 2011, Amendment No. 7 thereto filed on November 14, 2011, Amendment No. 8 thereto filed on December 27, 2011, Amendment No. 9 thereto filed on February 24, 2012, Amendment No. 10 thereto filed on April 10, 2012, Amendment No. 11 thereto filed on October 26, 2012, Amendment No. 12 thereto filed on November 26, 2014, Amendment No. 13 thereto filed on June 4, 2018, Amendment No. 14 thereto filed on June 29, 2018, Amendment No. 15 thereto filed on December 16, 2020, Amendment No. 16 thereto filed on January 5, 2021, Amendment No. 17 thereto filed on January 21, 2021, Amendment No. 18 thereto filed on August 1, 2022, Amendment No. 19 thereto filed on August 9, 2022, Amendment No. 20 thereto filed on June 6, 2023, Amendment No. 21 thereto filed on March 13, 2024, Amendment No. 22 thereto filed on May 14, 2024, Amendment No. 23 thereto filed on July 29, 2024, Amendment No. 24 thereto filed on December 9, 2024 and Amendment No. 25 thereto filed on February 2, 2025 (as so amended, the "Statement"). All capitalized terms not otherwise defined herein have the meaning assigned to them in the Statement.</w:t>
      </w:r>
    </w:p>
    <w:p>
      <w:pPr>
        <w:spacing w:after="0" w:line="25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20"/>
        <w:spacing w:after="0" w:line="239" w:lineRule="auto"/>
        <w:rPr>
          <w:sz w:val="20"/>
          <w:szCs w:val="20"/>
          <w:color w:val="auto"/>
        </w:rPr>
      </w:pPr>
      <w:r>
        <w:rPr>
          <w:rFonts w:ascii="Times New Roman" w:cs="Times New Roman" w:eastAsia="Times New Roman" w:hAnsi="Times New Roman"/>
          <w:sz w:val="22"/>
          <w:szCs w:val="22"/>
          <w:color w:val="auto"/>
        </w:rPr>
        <w:t>Item 3 of the Statement is hereby amended and supplemented as follows: The information set forth in Items 4, 5 and 6 of the Statement is incorporated herein by reference. On February 17, 2026, Artal Participations S.a r.l. purchased an additional 41,289.58 shares of Preferred Stock at a price of $65.00 per share pursuant to the terms of the Preferred Purchase Agreement. Artal Participations S.a r.l. used available funds to purchase the securities.</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80"/>
        <w:spacing w:after="0" w:line="234" w:lineRule="auto"/>
        <w:rPr>
          <w:sz w:val="20"/>
          <w:szCs w:val="20"/>
          <w:color w:val="auto"/>
        </w:rPr>
      </w:pPr>
      <w:r>
        <w:rPr>
          <w:rFonts w:ascii="Times New Roman" w:cs="Times New Roman" w:eastAsia="Times New Roman" w:hAnsi="Times New Roman"/>
          <w:sz w:val="22"/>
          <w:szCs w:val="22"/>
          <w:color w:val="auto"/>
        </w:rPr>
        <w:t>Item 4 of the Statement is hereby amended and supplemented as follows: As previously disclosed in Amendment No. 25, on February 2, 2026, Artal Participations S.a.r.l. acquired 367,145.12 shares of Preferred Stock, and on February 17, 2026 Artal Participations S.a r.l. purchased an additional 41,289.58 shares of Preferred Stock, in each case, pursuant to the terms of the Preferred Purchase Agreement. Each share of Preferred Stock would automatically convert into 50 shares (subject to adjustments) of Issuer Common Stock immediately following the satisfaction of all of the following conditions: (i) the approval of the New Charter by the shareholders of the Issuer at the Annual Meeting; (ii) the adoption of the New Charter by the Issuer's board of directors; and (iii) the filing and acceptance of the New Charter with and by the Secretary of State of the State of Delaware. On April 30, 2026, all conditions were met, and the 408,434.70 shares of Preferred Stock directly held by Artal Participations S.a.r.l. automatically converted into 20,421,735 shares of Issuer Common Stock.</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hanging="912"/>
        <w:spacing w:after="0" w:line="238" w:lineRule="auto"/>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5(a), Item 5(b) and Item 5(c) of the Statement is each hereby amended and restated in its entirety as follows: The information contained in rows 7, 8, 9, 10, 11 and 13 on each of the cover pages of this Schedule 13D and the information set forth or incorporated in Items 2, 3, 4 and 6 is incorporated by reference in its entirety into this Item 5. As of the date hereof, Invus Public Equities, L.P. is the record and beneficial owner of 7,362,368 shares of Issuer Common Stock, representing approximately 1.7% of the outstanding shares of Issuer Common Stock. Invus Public</w:t>
      </w:r>
    </w:p>
    <w:p>
      <w:pPr>
        <w:sectPr>
          <w:pgSz w:w="11900" w:h="16838" w:orient="portrait"/>
          <w:cols w:equalWidth="0" w:num="1">
            <w:col w:w="11160"/>
          </w:cols>
          <w:pgMar w:left="360" w:top="112" w:right="379" w:bottom="0" w:gutter="0" w:footer="0" w:header="0"/>
        </w:sectPr>
      </w:pPr>
    </w:p>
    <w:bookmarkStart w:id="16" w:name="page17"/>
    <w:bookmarkEnd w:id="16"/>
    <w:p>
      <w:pPr>
        <w:spacing w:after="0" w:line="3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1"/>
          <w:szCs w:val="21"/>
          <w:color w:val="auto"/>
        </w:rPr>
        <w:t>Equities Advisors, LLC, as the general partner of Invus Public Equities, L.P., controls Invus Public Equities, L.P. and, accordingly, may be deemed to beneficially own the shares of Issuer Common Stock held by Invus Public Equities, L.P. Invus Global Management, LLC, as the managing member of Invus Public Equities Advisors, LLC, controls Invus Public Equities Advisors, LLC and, accordingly, may be deemed to beneficially own the shares of Issuer Common Stock that Invus Public Equities Advisors, LLC may be deemed to beneficially own. Siren, L.L.C., as the managing member of Invus Global Management, LLC, controls Invus Global Management, LLC and, accordingly, may be deemed to beneficially own the shares of Issuer Common Stock that Invus Global Management, LLC may be deemed to beneficially own. Mr. Raymond Debbane, as the managing member of Siren, L.L.C., controls Siren, L.L.C. and, accordingly, may be deemed to beneficially own the shares of Issuer Common Stock that Siren, L.L.C. may be deemed to beneficially own. Each of Invus Public Equities Advisors, LLC, Invus Global Management, LLC, Siren, L.L.C. and Mr. Debbane disclaims such beneficial ownership. Invus, L.P. is the record owner of 35,402,689 shares of Issuer Common Stock and the beneficial owner of 42,765,057 shares of Issuer Common Stock, representing approximately 8.0% and approximately 9.6%, respectively, of the outstanding shares of Issuer Common Stock. Invus Advisors, L.L.C., as the general partner of Invus, L.P., controls Invus, L.P. and, accordingly, may be deemed to beneficially own the shares of Issuer Common Stock held by Invus, L.P. Invus Global Management, LLC, as the managing member of Invus Advisors, L.L.C., controls Invus Advisors, L.L.C. and, accordingly, may be deemed to beneficially own the shares of Issuer Common Stock that Invus Advisors, L.L.C. may be deemed to beneficially own. Siren, L.L.C., as the managing member of Invus Global Management, LLC, controls Invus Global Management, LLC and, accordingly, may be deemed to beneficially own the shares of Issuer Common Stock that Invus Global Management, LLC may be deemed to beneficially own. Mr. Raymond Debbane, as the managing member of Siren, L.L.C., controls Siren, L.L.C. and, accordingly, may be deemed to beneficially own the shares of Issuer Common Stock that Siren, L.L.C. may be deemed to beneficially own. Each of Invus Advisors, L.L.C., Invus Global Management, LLC, Siren, L.L.C. and Mr. Debbane disclaims such beneficial ownership. Artal Participations S.a r.l. is the record and beneficial owner of 175,156,062 shares of Issuer Common Stock, representing approximately 39.4% of the outstanding shares of Issuer Common Stock. Artal International S.C.A. as the sole shareholder of Artal Participations S.a r.l. controls Artal Participations S.a r.l. and, accordingly, may be deemed to beneficially own the shares of Issuer Common Stock that Artal Participations S.a r.l. may be deemed to beneficially own. Artal International Management S.A., as the managing partner of Artal International S.C.A., controls Artal International S.C.A. and, accordingly, may be deemed to beneficially own the shares of Issuer Common Stock that Artal International S.C.A. may be deemed to beneficially own. Artal Group S.A., as the sole stockholder of Artal International Management S.A., controls Artal International Management S.A. and, accordingly, may be deemed to beneficially own the shares of Issuer Common Stock that Artal International Management S.A. may be deemed to beneficially own. Westend S.A., as the parent company of Artal Group S.A., controls Artal Group S.A. and, accordingly, may be deemed to beneficially own the shares of Issuer Common Stock that Artal Group S.A. may be deemed to beneficially own. The Stichting, as the majority stockholder of Westend S.A., controls Westend S.A. and, accordingly, may be deemed to beneficially own the shares of Issuer Common Stock that Westend S.A. may be deemed to beneficially own. Mr. Amaury Wittouck, as the sole member of the board of the Stichting, controls the Stichting and, accordingly, may be deemed to beneficially own the shares of Issuer Common Stock that the Stichting may be deemed to beneficially own. Each of Artal International S.C.A., Artal International Management S.A., Artal Group S.A., Westend S.A., the Stichting and Mr. Amaury Wittouck disclaims such beneficial ownership. Invus US Partners LLC is the record and beneficial owner of 5,451,204 shares of Issuer Common Stock, representing approximately 1.2% of the outstanding shares of Issuer Common Stock. Ulys, L.L.C., as the managing member of Invus US Partners LLC, controls Invus US Partners LLC and, accordingly, may be deemed to beneficially own the shares of Issuer Common Stock held by Invus US Partners LLC. As the managing member of Ulys, L.L.C., Mr. Raymond Debbane controls Ulys, L.L.C. and, accordingly, may be deemed to beneficially own the shares of Issuer Common Stock that Ulys, L.L.C. may be deemed to beneficially own. Each of Ulys, L.L.C. and Mr. Debbane disclaims such beneficial ownership. Avicenna Life Sci Master Fund LP is the record and beneficial owner of 1,538,462 shares of Issuer Common Stock, representing approximately 0.3% of the outstanding shares of Issuer Common Stock. Avicenna Life Sci Master GP LLC, as the general partner of Avicenna Life Sci Master Fund LP, controls Avicenna Life Sci Master Fund LP and, accordingly, may be deemed to beneficially own the shares of Issuer Common Stock held by Avicenna Life Sci Master Fund LP. Ulys, L.L.C., as the managing member of Avicenna Life Sci Master GP LLC, controls Avicenna Life Sci Master GP LLC and, accordingly, may be deemed to beneficially own the shares of Issuer Common Stock that Avicenna Life Sci Master GP LLC may be deemed to beneficially own. As the managing member of Ulys, L.L.C., Mr. Raymond Debbane controls Ulys, L.L.C. and, accordingly, may be deemed to beneficially own the shares of Issuer Common Stock that Ulys, L.L.C. may be deemed to beneficially own. Each of Avicenna Life Sci Master GP LLC, Ulys, L.L.C. and Mr. Debbane disclaims such beneficial ownership. Mr. Debbane is the beneficial owner of 51,878,643 shares of Issuer Common Stock representing approximately</w:t>
      </w:r>
    </w:p>
    <w:p>
      <w:pPr>
        <w:spacing w:after="0" w:line="29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11.7% of the outstanding shares of Issuer Common Stock including 1,906,186 shares of Issuer Common Stock owned directly by Mr. Debbane, representing approximately 0.4% of the outstanding shares of Issuer Common Stock and an additional 217,734 shares of Issuer Common Stock issuable pursuant to options and restricted stock units that have vested or will vest and are exercisable within 60 days. Mr. Debbane also holds unvested stock options to purchase an additional 127,651 shares of Issuer Common Stock scheduled to vest on various vesting dates and 35,714 restricted stock units that are scheduled to vest on May 1, 2027. The Reporting Persons collectively beneficially own 227,034,705 shares of Issuer Common Stock, representing approximately 51.1% of the outstanding shares of Issuer Common Stock. Calculations of the percentage of shares of Issuer Common Stock beneficially owned are based on 444,196,390 shares of Issuer Common Stock outstanding as of May 4, 2026 as reported in the Quarterly Report on Form 10-Q filed by the Issuer with the Securities Exchange Commission on May 7, 2026. Mr. Amouyal beneficially owns 285,174 shares of Issuer Common Stock held directly and an additional 217,734 shares of Issuer Common</w:t>
      </w:r>
    </w:p>
    <w:p>
      <w:pPr>
        <w:sectPr>
          <w:pgSz w:w="11900" w:h="16877" w:orient="portrait"/>
          <w:cols w:equalWidth="0" w:num="1">
            <w:col w:w="10200"/>
          </w:cols>
          <w:pgMar w:left="1280" w:top="112" w:right="419" w:bottom="0" w:gutter="0" w:footer="0" w:header="0"/>
        </w:sectPr>
      </w:pPr>
    </w:p>
    <w:bookmarkStart w:id="17" w:name="page18"/>
    <w:bookmarkEnd w:id="17"/>
    <w:p>
      <w:pPr>
        <w:ind w:left="912" w:right="40"/>
        <w:spacing w:after="0" w:line="246" w:lineRule="auto"/>
        <w:rPr>
          <w:sz w:val="20"/>
          <w:szCs w:val="20"/>
          <w:color w:val="auto"/>
        </w:rPr>
      </w:pPr>
      <w:r>
        <w:rPr>
          <w:rFonts w:ascii="Times New Roman" w:cs="Times New Roman" w:eastAsia="Times New Roman" w:hAnsi="Times New Roman"/>
          <w:sz w:val="21"/>
          <w:szCs w:val="21"/>
          <w:color w:val="auto"/>
        </w:rPr>
        <w:t>Stock issuable pursuant to options and restricted stock units that have vested or will vest and are exercisable within 60 days. Mr. Guimaraes beneficially owns 714 shares of Issuer Common Stock. Mr. Sobecki beneficially owns 203,865 shares of Issuer Common Stock held directly and an additional 217,734 shares of Issuer Common Stock issuable pursuant to options and restricted stock units that have vested or will vest and are exercisable within 60 days. Each of Messrs. Amouyal and Sobecki also holds unvested stock options to purchase an additional 127,651 shares of Issuer Common Stock scheduled to vest on various vesting dates and 35,714 restricted stock units that are scheduled to vest on May 1, 2027. Shares of Issuer Common Stock beneficially owned by each of Messrs. Amouyal, Guimaraes and Sobecki represent less than 1% of the number of outstanding shares of Issuer Common Stock.</w:t>
      </w:r>
    </w:p>
    <w:p>
      <w:pPr>
        <w:spacing w:after="0" w:line="18" w:lineRule="exact"/>
        <w:rPr>
          <w:sz w:val="20"/>
          <w:szCs w:val="20"/>
          <w:color w:val="auto"/>
        </w:rPr>
      </w:pPr>
    </w:p>
    <w:p>
      <w:pPr>
        <w:ind w:left="912" w:right="80" w:hanging="912"/>
        <w:spacing w:after="0" w:line="185" w:lineRule="auto"/>
        <w:tabs>
          <w:tab w:leader="none" w:pos="912" w:val="left"/>
        </w:tabs>
        <w:numPr>
          <w:ilvl w:val="0"/>
          <w:numId w:val="1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this Statement, there have been no transactions in shares of Issuer Common Stock by any of the Reporting Persons in the past 60 days.</w:t>
      </w:r>
    </w:p>
    <w:p>
      <w:pPr>
        <w:spacing w:after="0" w:line="287"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22"/>
          <w:szCs w:val="22"/>
          <w:color w:val="auto"/>
        </w:rPr>
        <w:t>Invus, L.P.</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ind w:left="5652"/>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Raymond Debbane, President of Invus Advisors</w:t>
      </w:r>
    </w:p>
    <w:p>
      <w:pPr>
        <w:spacing w:after="0" w:line="1"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L.L.C., its general partner</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2172"/>
        <w:spacing w:after="0"/>
        <w:rPr>
          <w:sz w:val="20"/>
          <w:szCs w:val="20"/>
          <w:color w:val="auto"/>
        </w:rPr>
      </w:pPr>
      <w:r>
        <w:rPr>
          <w:rFonts w:ascii="Times New Roman" w:cs="Times New Roman" w:eastAsia="Times New Roman" w:hAnsi="Times New Roman"/>
          <w:sz w:val="22"/>
          <w:szCs w:val="22"/>
          <w:color w:val="auto"/>
        </w:rPr>
        <w:t>Invus Advisors, L.L.C.</w:t>
      </w:r>
    </w:p>
    <w:p>
      <w:pPr>
        <w:spacing w:after="0" w:line="152" w:lineRule="exact"/>
        <w:rPr>
          <w:sz w:val="20"/>
          <w:szCs w:val="20"/>
          <w:color w:val="auto"/>
        </w:rPr>
      </w:pPr>
    </w:p>
    <w:p>
      <w:pPr>
        <w:ind w:left="3852"/>
        <w:spacing w:after="0"/>
        <w:tabs>
          <w:tab w:leader="none" w:pos="49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52"/>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52"/>
        <w:spacing w:after="0"/>
        <w:tabs>
          <w:tab w:leader="none" w:pos="49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2472"/>
        <w:spacing w:after="0"/>
        <w:rPr>
          <w:sz w:val="20"/>
          <w:szCs w:val="20"/>
          <w:color w:val="auto"/>
        </w:rPr>
      </w:pPr>
      <w:r>
        <w:rPr>
          <w:rFonts w:ascii="Times New Roman" w:cs="Times New Roman" w:eastAsia="Times New Roman" w:hAnsi="Times New Roman"/>
          <w:sz w:val="22"/>
          <w:szCs w:val="22"/>
          <w:color w:val="auto"/>
        </w:rPr>
        <w:t>Invus Public Equities, L.P.</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ind w:left="5652"/>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Raymond Debbane, President of Invus Public</w:t>
      </w:r>
    </w:p>
    <w:p>
      <w:pPr>
        <w:spacing w:after="0" w:line="1"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Equities Advisors, LLC, its general partner</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3372"/>
        <w:spacing w:after="0"/>
        <w:rPr>
          <w:sz w:val="20"/>
          <w:szCs w:val="20"/>
          <w:color w:val="auto"/>
        </w:rPr>
      </w:pPr>
      <w:r>
        <w:rPr>
          <w:rFonts w:ascii="Times New Roman" w:cs="Times New Roman" w:eastAsia="Times New Roman" w:hAnsi="Times New Roman"/>
          <w:sz w:val="22"/>
          <w:szCs w:val="22"/>
          <w:color w:val="auto"/>
        </w:rPr>
        <w:t>Invus Public Equities Advisors, LLC</w:t>
      </w:r>
    </w:p>
    <w:p>
      <w:pPr>
        <w:spacing w:after="0" w:line="152" w:lineRule="exact"/>
        <w:rPr>
          <w:sz w:val="20"/>
          <w:szCs w:val="20"/>
          <w:color w:val="auto"/>
        </w:rPr>
      </w:pPr>
    </w:p>
    <w:p>
      <w:pPr>
        <w:ind w:left="3852"/>
        <w:spacing w:after="0"/>
        <w:tabs>
          <w:tab w:leader="none" w:pos="49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52"/>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52"/>
        <w:spacing w:after="0"/>
        <w:tabs>
          <w:tab w:leader="none" w:pos="49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2992"/>
        <w:spacing w:after="0"/>
        <w:rPr>
          <w:sz w:val="20"/>
          <w:szCs w:val="20"/>
          <w:color w:val="auto"/>
        </w:rPr>
      </w:pPr>
      <w:r>
        <w:rPr>
          <w:rFonts w:ascii="Times New Roman" w:cs="Times New Roman" w:eastAsia="Times New Roman" w:hAnsi="Times New Roman"/>
          <w:sz w:val="22"/>
          <w:szCs w:val="22"/>
          <w:color w:val="auto"/>
        </w:rPr>
        <w:t>Invus Global Management, LLC</w:t>
      </w:r>
    </w:p>
    <w:p>
      <w:pPr>
        <w:spacing w:after="0" w:line="152" w:lineRule="exact"/>
        <w:rPr>
          <w:sz w:val="20"/>
          <w:szCs w:val="20"/>
          <w:color w:val="auto"/>
        </w:rPr>
      </w:pPr>
    </w:p>
    <w:p>
      <w:pPr>
        <w:ind w:left="3852"/>
        <w:spacing w:after="0"/>
        <w:tabs>
          <w:tab w:leader="none" w:pos="49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52"/>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52"/>
        <w:spacing w:after="0"/>
        <w:tabs>
          <w:tab w:leader="none" w:pos="49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1312"/>
        <w:spacing w:after="0"/>
        <w:rPr>
          <w:sz w:val="20"/>
          <w:szCs w:val="20"/>
          <w:color w:val="auto"/>
        </w:rPr>
      </w:pPr>
      <w:r>
        <w:rPr>
          <w:rFonts w:ascii="Times New Roman" w:cs="Times New Roman" w:eastAsia="Times New Roman" w:hAnsi="Times New Roman"/>
          <w:sz w:val="22"/>
          <w:szCs w:val="22"/>
          <w:color w:val="auto"/>
        </w:rPr>
        <w:t>Siren, L.L.C.</w:t>
      </w:r>
    </w:p>
    <w:p>
      <w:pPr>
        <w:spacing w:after="0" w:line="152" w:lineRule="exact"/>
        <w:rPr>
          <w:sz w:val="20"/>
          <w:szCs w:val="20"/>
          <w:color w:val="auto"/>
        </w:rPr>
      </w:pPr>
    </w:p>
    <w:p>
      <w:pPr>
        <w:ind w:left="3852"/>
        <w:spacing w:after="0"/>
        <w:tabs>
          <w:tab w:leader="none" w:pos="49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52"/>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52"/>
        <w:spacing w:after="0"/>
        <w:tabs>
          <w:tab w:leader="none" w:pos="49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3192"/>
        <w:spacing w:after="0"/>
        <w:rPr>
          <w:sz w:val="20"/>
          <w:szCs w:val="20"/>
          <w:color w:val="auto"/>
        </w:rPr>
      </w:pPr>
      <w:r>
        <w:rPr>
          <w:rFonts w:ascii="Times New Roman" w:cs="Times New Roman" w:eastAsia="Times New Roman" w:hAnsi="Times New Roman"/>
          <w:sz w:val="22"/>
          <w:szCs w:val="22"/>
          <w:color w:val="auto"/>
        </w:rPr>
        <w:t>Avicenna Life Sci Master Fund LP</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Raymond Debbane, Chief Executive Officer of</w:t>
      </w:r>
    </w:p>
    <w:p>
      <w:pPr>
        <w:spacing w:after="0" w:line="4"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22"/>
          <w:szCs w:val="22"/>
          <w:color w:val="auto"/>
        </w:rPr>
        <w:t>Name/Title: Avicenna Life Sci Master GP LLC, its general</w:t>
      </w:r>
    </w:p>
    <w:p>
      <w:pPr>
        <w:ind w:left="6732"/>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3192"/>
        <w:spacing w:after="0"/>
        <w:rPr>
          <w:sz w:val="20"/>
          <w:szCs w:val="20"/>
          <w:color w:val="auto"/>
        </w:rPr>
      </w:pPr>
      <w:r>
        <w:rPr>
          <w:rFonts w:ascii="Times New Roman" w:cs="Times New Roman" w:eastAsia="Times New Roman" w:hAnsi="Times New Roman"/>
          <w:sz w:val="22"/>
          <w:szCs w:val="22"/>
          <w:color w:val="auto"/>
        </w:rPr>
        <w:t>Avicenna Life Sci Master GP LLC</w:t>
      </w:r>
    </w:p>
    <w:p>
      <w:pPr>
        <w:spacing w:after="0" w:line="152" w:lineRule="exact"/>
        <w:rPr>
          <w:sz w:val="20"/>
          <w:szCs w:val="20"/>
          <w:color w:val="auto"/>
        </w:rPr>
      </w:pPr>
    </w:p>
    <w:p>
      <w:pPr>
        <w:ind w:left="5112"/>
        <w:spacing w:after="0"/>
        <w:tabs>
          <w:tab w:leader="none" w:pos="619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5112"/>
        <w:spacing w:after="0"/>
        <w:rPr>
          <w:sz w:val="20"/>
          <w:szCs w:val="20"/>
          <w:color w:val="auto"/>
        </w:rPr>
      </w:pPr>
      <w:r>
        <w:rPr>
          <w:rFonts w:ascii="Times New Roman" w:cs="Times New Roman" w:eastAsia="Times New Roman" w:hAnsi="Times New Roman"/>
          <w:sz w:val="22"/>
          <w:szCs w:val="22"/>
          <w:color w:val="auto"/>
        </w:rPr>
        <w:t>Name/Title: Raymond Debbane, Chief Executive Officer</w:t>
      </w:r>
    </w:p>
    <w:p>
      <w:pPr>
        <w:spacing w:after="0" w:line="44" w:lineRule="exact"/>
        <w:rPr>
          <w:sz w:val="20"/>
          <w:szCs w:val="20"/>
          <w:color w:val="auto"/>
        </w:rPr>
      </w:pPr>
    </w:p>
    <w:p>
      <w:pPr>
        <w:ind w:left="5112"/>
        <w:spacing w:after="0"/>
        <w:tabs>
          <w:tab w:leader="none" w:pos="619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2212"/>
        <w:spacing w:after="0"/>
        <w:rPr>
          <w:sz w:val="20"/>
          <w:szCs w:val="20"/>
          <w:color w:val="auto"/>
        </w:rPr>
      </w:pPr>
      <w:r>
        <w:rPr>
          <w:rFonts w:ascii="Times New Roman" w:cs="Times New Roman" w:eastAsia="Times New Roman" w:hAnsi="Times New Roman"/>
          <w:sz w:val="22"/>
          <w:szCs w:val="22"/>
          <w:color w:val="auto"/>
        </w:rPr>
        <w:t>Invus US Partners LLC</w:t>
      </w:r>
    </w:p>
    <w:p>
      <w:pPr>
        <w:sectPr>
          <w:pgSz w:w="11900" w:h="16838" w:orient="portrait"/>
          <w:cols w:equalWidth="0" w:num="1">
            <w:col w:w="11132"/>
          </w:cols>
          <w:pgMar w:left="368" w:top="112" w:right="399" w:bottom="0" w:gutter="0" w:footer="0" w:header="0"/>
        </w:sectPr>
      </w:pPr>
    </w:p>
    <w:bookmarkStart w:id="18" w:name="page19"/>
    <w:bookmarkEnd w:id="18"/>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Ulys, L.L.C.</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Raymond Debbane</w:t>
      </w:r>
    </w:p>
    <w:p>
      <w:pPr>
        <w:spacing w:after="0" w:line="152" w:lineRule="exact"/>
        <w:rPr>
          <w:sz w:val="20"/>
          <w:szCs w:val="20"/>
          <w:color w:val="auto"/>
        </w:rPr>
      </w:pPr>
    </w:p>
    <w:p>
      <w:pPr>
        <w:ind w:left="2120"/>
        <w:spacing w:after="0"/>
        <w:tabs>
          <w:tab w:leader="none" w:pos="3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Name/Title: Raymond Debbane</w:t>
      </w:r>
    </w:p>
    <w:p>
      <w:pPr>
        <w:spacing w:after="0" w:line="44" w:lineRule="exact"/>
        <w:rPr>
          <w:sz w:val="20"/>
          <w:szCs w:val="20"/>
          <w:color w:val="auto"/>
        </w:rPr>
      </w:pPr>
    </w:p>
    <w:p>
      <w:pPr>
        <w:ind w:left="2120"/>
        <w:spacing w:after="0"/>
        <w:tabs>
          <w:tab w:leader="none" w:pos="3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Artal Participations S.a r.l.</w:t>
      </w:r>
    </w:p>
    <w:p>
      <w:pPr>
        <w:spacing w:after="0" w:line="152" w:lineRule="exact"/>
        <w:rPr>
          <w:sz w:val="20"/>
          <w:szCs w:val="20"/>
          <w:color w:val="auto"/>
        </w:rPr>
      </w:pPr>
    </w:p>
    <w:p>
      <w:pPr>
        <w:ind w:left="232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Pierre Claudel</w:t>
      </w:r>
    </w:p>
    <w:p>
      <w:pPr>
        <w:spacing w:after="0" w:line="4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Name/Title: Pierre Claudel, Manager</w:t>
      </w:r>
    </w:p>
    <w:p>
      <w:pPr>
        <w:spacing w:after="0" w:line="44" w:lineRule="exact"/>
        <w:rPr>
          <w:sz w:val="20"/>
          <w:szCs w:val="20"/>
          <w:color w:val="auto"/>
        </w:rPr>
      </w:pPr>
    </w:p>
    <w:p>
      <w:pPr>
        <w:ind w:left="2320"/>
        <w:spacing w:after="0"/>
        <w:tabs>
          <w:tab w:leader="none" w:pos="3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Artal International S.C.A.</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Anne Goffard</w:t>
      </w:r>
    </w:p>
    <w:p>
      <w:pPr>
        <w:spacing w:after="0" w:line="44" w:lineRule="exact"/>
        <w:rPr>
          <w:sz w:val="20"/>
          <w:szCs w:val="20"/>
          <w:color w:val="auto"/>
        </w:rPr>
      </w:pPr>
    </w:p>
    <w:p>
      <w:pPr>
        <w:ind w:left="4580" w:firstLine="1094"/>
        <w:spacing w:after="0" w:line="253" w:lineRule="auto"/>
        <w:rPr>
          <w:sz w:val="20"/>
          <w:szCs w:val="20"/>
          <w:color w:val="auto"/>
        </w:rPr>
      </w:pPr>
      <w:r>
        <w:rPr>
          <w:rFonts w:ascii="Times New Roman" w:cs="Times New Roman" w:eastAsia="Times New Roman" w:hAnsi="Times New Roman"/>
          <w:sz w:val="21"/>
          <w:szCs w:val="21"/>
          <w:color w:val="auto"/>
        </w:rPr>
        <w:t>Anne Goffard, Managing Director of Artal Name/Title: International Management S.A., its managing</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Artal International Management S.A.</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Anne Goffard</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Anne Goffard, Managing Director</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Artal Group S.A.</w:t>
      </w:r>
    </w:p>
    <w:p>
      <w:pPr>
        <w:spacing w:after="0" w:line="152"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Anne Goffard</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Anne Goffard, Authorized Person</w:t>
      </w:r>
    </w:p>
    <w:p>
      <w:pPr>
        <w:spacing w:after="0" w:line="44"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Westend S.A.</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Anne Goffard</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Anne Goffard, Managing Director</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Stichting Administratiekantoor Westend</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Amaury Wittouck</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Amaury Wittouck, Sole Member of the Board</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Amaury Wittouck</w:t>
      </w:r>
    </w:p>
    <w:p>
      <w:pPr>
        <w:spacing w:after="0" w:line="152" w:lineRule="exact"/>
        <w:rPr>
          <w:sz w:val="20"/>
          <w:szCs w:val="20"/>
          <w:color w:val="auto"/>
        </w:rPr>
      </w:pPr>
    </w:p>
    <w:p>
      <w:pPr>
        <w:ind w:left="202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Amaury Wittouck</w:t>
      </w:r>
    </w:p>
    <w:p>
      <w:pPr>
        <w:spacing w:after="0" w:line="4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Name/Title: Amaury Wittouck</w:t>
      </w:r>
    </w:p>
    <w:p>
      <w:pPr>
        <w:spacing w:after="0" w:line="44" w:lineRule="exact"/>
        <w:rPr>
          <w:sz w:val="20"/>
          <w:szCs w:val="20"/>
          <w:color w:val="auto"/>
        </w:rPr>
      </w:pPr>
    </w:p>
    <w:p>
      <w:pPr>
        <w:ind w:left="202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sectPr>
      <w:pgSz w:w="11900" w:h="16838" w:orient="portrait"/>
      <w:cols w:equalWidth="0" w:num="1">
        <w:col w:w="9600"/>
      </w:cols>
      <w:pgMar w:left="1440" w:top="11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bullet"/>
      <w:start w:val="1"/>
    </w:lvl>
  </w:abstractNum>
  <w:abstractNum w:abstractNumId="1">
    <w:nsid w:val="216231B"/>
    <w:multiLevelType w:val="hybridMultilevel"/>
    <w:lvl w:ilvl="0">
      <w:lvlJc w:val="left"/>
      <w:lvlText w:val="2"/>
      <w:numFmt w:val="bullet"/>
      <w:start w:val="1"/>
    </w:lvl>
  </w:abstractNum>
  <w:abstractNum w:abstractNumId="2">
    <w:nsid w:val="1F16E9E8"/>
    <w:multiLevelType w:val="hybridMultilevel"/>
    <w:lvl w:ilvl="0">
      <w:lvlJc w:val="left"/>
      <w:lvlText w:val="3"/>
      <w:numFmt w:val="bullet"/>
      <w:start w:val="1"/>
    </w:lvl>
  </w:abstractNum>
  <w:abstractNum w:abstractNumId="3">
    <w:nsid w:val="1190CDE7"/>
    <w:multiLevelType w:val="hybridMultilevel"/>
    <w:lvl w:ilvl="0">
      <w:lvlJc w:val="left"/>
      <w:lvlText w:val="5"/>
      <w:numFmt w:val="bullet"/>
      <w:start w:val="1"/>
    </w:lvl>
  </w:abstractNum>
  <w:abstractNum w:abstractNumId="4">
    <w:nsid w:val="66EF438D"/>
    <w:multiLevelType w:val="hybridMultilevel"/>
    <w:lvl w:ilvl="0">
      <w:lvlJc w:val="left"/>
      <w:lvlText w:val="2"/>
      <w:numFmt w:val="bullet"/>
      <w:start w:val="1"/>
    </w:lvl>
  </w:abstractNum>
  <w:abstractNum w:abstractNumId="5">
    <w:nsid w:val="140E0F76"/>
    <w:multiLevelType w:val="hybridMultilevel"/>
    <w:lvl w:ilvl="0">
      <w:lvlJc w:val="left"/>
      <w:lvlText w:val="3"/>
      <w:numFmt w:val="bullet"/>
      <w:start w:val="1"/>
    </w:lvl>
  </w:abstractNum>
  <w:abstractNum w:abstractNumId="6">
    <w:nsid w:val="3352255A"/>
    <w:multiLevelType w:val="hybridMultilevel"/>
    <w:lvl w:ilvl="0">
      <w:lvlJc w:val="left"/>
      <w:lvlText w:val="1"/>
      <w:numFmt w:val="bullet"/>
      <w:start w:val="1"/>
    </w:lvl>
  </w:abstractNum>
  <w:abstractNum w:abstractNumId="7">
    <w:nsid w:val="109CF92E"/>
    <w:multiLevelType w:val="hybridMultilevel"/>
    <w:lvl w:ilvl="0">
      <w:lvlJc w:val="left"/>
      <w:lvlText w:val="2"/>
      <w:numFmt w:val="bullet"/>
      <w:start w:val="1"/>
    </w:lvl>
  </w:abstractNum>
  <w:abstractNum w:abstractNumId="8">
    <w:nsid w:val="DED7263"/>
    <w:multiLevelType w:val="hybridMultilevel"/>
    <w:lvl w:ilvl="0">
      <w:lvlJc w:val="left"/>
      <w:lvlText w:val="3"/>
      <w:numFmt w:val="bullet"/>
      <w:start w:val="1"/>
    </w:lvl>
  </w:abstractNum>
  <w:abstractNum w:abstractNumId="9">
    <w:nsid w:val="7FDCC233"/>
    <w:multiLevelType w:val="hybridMultilevel"/>
    <w:lvl w:ilvl="0">
      <w:lvlJc w:val="left"/>
      <w:lvlText w:val="6"/>
      <w:numFmt w:val="bullet"/>
      <w:start w:val="1"/>
    </w:lvl>
  </w:abstractNum>
  <w:abstractNum w:abstractNumId="10">
    <w:nsid w:val="1BEFD79F"/>
    <w:multiLevelType w:val="hybridMultilevel"/>
    <w:lvl w:ilvl="0">
      <w:lvlJc w:val="left"/>
      <w:lvlText w:val="2"/>
      <w:numFmt w:val="bullet"/>
      <w:start w:val="1"/>
    </w:lvl>
  </w:abstractNum>
  <w:abstractNum w:abstractNumId="11">
    <w:nsid w:val="41A7C4C9"/>
    <w:multiLevelType w:val="hybridMultilevel"/>
    <w:lvl w:ilvl="0">
      <w:lvlJc w:val="left"/>
      <w:lvlText w:val="3"/>
      <w:numFmt w:val="bullet"/>
      <w:start w:val="1"/>
    </w:lvl>
  </w:abstractNum>
  <w:abstractNum w:abstractNumId="12">
    <w:nsid w:val="6B68079A"/>
    <w:multiLevelType w:val="hybridMultilevel"/>
    <w:lvl w:ilvl="0">
      <w:lvlJc w:val="left"/>
      <w:lvlText w:val="2"/>
      <w:numFmt w:val="bullet"/>
      <w:start w:val="1"/>
    </w:lvl>
  </w:abstractNum>
  <w:abstractNum w:abstractNumId="13">
    <w:nsid w:val="4E6AFB66"/>
    <w:multiLevelType w:val="hybridMultilevel"/>
    <w:lvl w:ilvl="0">
      <w:lvlJc w:val="left"/>
      <w:lvlText w:val="2"/>
      <w:numFmt w:val="bullet"/>
      <w:start w:val="1"/>
    </w:lvl>
  </w:abstractNum>
  <w:abstractNum w:abstractNumId="14">
    <w:nsid w:val="25E45D32"/>
    <w:multiLevelType w:val="hybridMultilevel"/>
    <w:lvl w:ilvl="0">
      <w:lvlJc w:val="left"/>
      <w:lvlText w:val="3"/>
      <w:numFmt w:val="bullet"/>
      <w:start w:val="1"/>
    </w:lvl>
  </w:abstractNum>
  <w:abstractNum w:abstractNumId="15">
    <w:nsid w:val="519B500D"/>
    <w:multiLevelType w:val="hybridMultilevel"/>
    <w:lvl w:ilvl="0">
      <w:lvlJc w:val="left"/>
      <w:lvlText w:val="7"/>
      <w:numFmt w:val="bullet"/>
      <w:start w:val="1"/>
    </w:lvl>
  </w:abstractNum>
  <w:abstractNum w:abstractNumId="16">
    <w:nsid w:val="431BD7B7"/>
    <w:multiLevelType w:val="hybridMultilevel"/>
    <w:lvl w:ilvl="0">
      <w:lvlJc w:val="left"/>
      <w:lvlText w:val="2"/>
      <w:numFmt w:val="bullet"/>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2026-05-08T20:46:31Z</dcterms:created>
  <dcterms:modified xsi:type="dcterms:W3CDTF">2026-05-08T20:46:31Z</dcterms:modified>
</cp:coreProperties>
</file>